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BA" w:rsidRDefault="008509BA" w:rsidP="007820C3">
      <w:pPr>
        <w:jc w:val="right"/>
        <w:rPr>
          <w:b/>
        </w:rPr>
      </w:pPr>
      <w:bookmarkStart w:id="0" w:name="_GoBack"/>
      <w:bookmarkEnd w:id="0"/>
      <w:r>
        <w:rPr>
          <w:noProof/>
          <w:lang w:eastAsia="sl-SI"/>
        </w:rPr>
        <w:drawing>
          <wp:inline distT="0" distB="0" distL="0" distR="0" wp14:anchorId="58041A21" wp14:editId="306B57E7">
            <wp:extent cx="899589" cy="525361"/>
            <wp:effectExtent l="0" t="0" r="0" b="8255"/>
            <wp:docPr id="10" name="WordPictureWatermark280462466" descr="SODO-dopis_podlag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80462466" descr="SODO-dopis_podlaga_wor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773" t="13772" r="5151" b="77518"/>
                    <a:stretch/>
                  </pic:blipFill>
                  <pic:spPr bwMode="auto">
                    <a:xfrm>
                      <a:off x="0" y="0"/>
                      <a:ext cx="917709" cy="535943"/>
                    </a:xfrm>
                    <a:prstGeom prst="rect">
                      <a:avLst/>
                    </a:prstGeom>
                    <a:noFill/>
                    <a:extLst/>
                  </pic:spPr>
                </pic:pic>
              </a:graphicData>
            </a:graphic>
          </wp:inline>
        </w:drawing>
      </w:r>
    </w:p>
    <w:p w:rsidR="008509BA" w:rsidRDefault="008509BA" w:rsidP="007820C3">
      <w:pPr>
        <w:jc w:val="both"/>
        <w:rPr>
          <w:b/>
        </w:rPr>
      </w:pPr>
    </w:p>
    <w:p w:rsidR="00D81447" w:rsidRDefault="00D81447" w:rsidP="007820C3">
      <w:pPr>
        <w:jc w:val="both"/>
        <w:rPr>
          <w:b/>
          <w:sz w:val="24"/>
          <w:szCs w:val="24"/>
        </w:rPr>
      </w:pPr>
    </w:p>
    <w:p w:rsidR="003C3FCD" w:rsidRPr="002E1E7F" w:rsidRDefault="00233B7B" w:rsidP="007820C3">
      <w:pPr>
        <w:jc w:val="both"/>
        <w:rPr>
          <w:b/>
          <w:sz w:val="24"/>
          <w:szCs w:val="24"/>
        </w:rPr>
      </w:pPr>
      <w:r w:rsidRPr="002E1E7F">
        <w:rPr>
          <w:b/>
          <w:sz w:val="24"/>
          <w:szCs w:val="24"/>
        </w:rPr>
        <w:t>PROCESI</w:t>
      </w:r>
      <w:r w:rsidR="007820C3" w:rsidRPr="002E1E7F">
        <w:rPr>
          <w:b/>
          <w:sz w:val="24"/>
          <w:szCs w:val="24"/>
        </w:rPr>
        <w:t xml:space="preserve"> IN OBRAZCI SODO</w:t>
      </w:r>
      <w:r w:rsidR="00D971C2" w:rsidRPr="002E1E7F">
        <w:rPr>
          <w:b/>
          <w:sz w:val="24"/>
          <w:szCs w:val="24"/>
        </w:rPr>
        <w:t xml:space="preserve"> ZA IZVAJANJE SPREMEMB NA MERILNIH MESTIH</w:t>
      </w:r>
    </w:p>
    <w:p w:rsidR="002E1E7F" w:rsidRDefault="002E1E7F" w:rsidP="007820C3">
      <w:pPr>
        <w:jc w:val="both"/>
        <w:rPr>
          <w:b/>
          <w:color w:val="0070C0"/>
          <w:sz w:val="24"/>
          <w:szCs w:val="24"/>
        </w:rPr>
      </w:pPr>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r w:rsidRPr="003F27AB">
        <w:rPr>
          <w:b w:val="0"/>
          <w:i/>
          <w:color w:val="005A9E"/>
          <w:sz w:val="22"/>
          <w:szCs w:val="24"/>
          <w:u w:val="words"/>
        </w:rPr>
        <w:fldChar w:fldCharType="begin"/>
      </w:r>
      <w:r w:rsidRPr="003F27AB">
        <w:rPr>
          <w:b w:val="0"/>
          <w:i/>
          <w:color w:val="005A9E"/>
          <w:sz w:val="22"/>
          <w:szCs w:val="24"/>
          <w:u w:val="words"/>
        </w:rPr>
        <w:instrText xml:space="preserve"> TOC \o "1-1" \n \p " " \h \z \u </w:instrText>
      </w:r>
      <w:r w:rsidRPr="003F27AB">
        <w:rPr>
          <w:b w:val="0"/>
          <w:i/>
          <w:color w:val="005A9E"/>
          <w:sz w:val="22"/>
          <w:szCs w:val="24"/>
          <w:u w:val="words"/>
        </w:rPr>
        <w:fldChar w:fldCharType="separate"/>
      </w:r>
      <w:hyperlink w:anchor="_Toc484084906" w:history="1">
        <w:r w:rsidRPr="003F27AB">
          <w:rPr>
            <w:rStyle w:val="Hiperpovezava"/>
            <w:b w:val="0"/>
            <w:i/>
            <w:noProof/>
            <w:color w:val="005A9E"/>
            <w:sz w:val="22"/>
            <w:u w:val="words"/>
          </w:rPr>
          <w:t>1.</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Menjava dobavitelja</w:t>
        </w:r>
      </w:hyperlink>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hyperlink w:anchor="_Toc484084907" w:history="1">
        <w:r w:rsidRPr="003F27AB">
          <w:rPr>
            <w:rStyle w:val="Hiperpovezava"/>
            <w:b w:val="0"/>
            <w:i/>
            <w:noProof/>
            <w:color w:val="005A9E"/>
            <w:sz w:val="22"/>
            <w:u w:val="words"/>
          </w:rPr>
          <w:t>2.</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Menjava dobavitelja in uskladitev osebnih podatkov lastnika/plačnika na merilnem mestu</w:t>
        </w:r>
      </w:hyperlink>
    </w:p>
    <w:p w:rsidR="001939E8" w:rsidRPr="003F27AB" w:rsidRDefault="001939E8" w:rsidP="003F27AB">
      <w:pPr>
        <w:pStyle w:val="Kazalovsebine1"/>
        <w:tabs>
          <w:tab w:val="left" w:pos="440"/>
          <w:tab w:val="right" w:pos="9062"/>
        </w:tabs>
        <w:spacing w:before="0" w:after="0"/>
        <w:ind w:left="435" w:hanging="435"/>
        <w:rPr>
          <w:rFonts w:eastAsiaTheme="minorEastAsia"/>
          <w:b w:val="0"/>
          <w:bCs w:val="0"/>
          <w:i/>
          <w:noProof/>
          <w:color w:val="005A9E"/>
          <w:sz w:val="22"/>
          <w:szCs w:val="22"/>
          <w:u w:val="words"/>
          <w:lang w:eastAsia="sl-SI"/>
        </w:rPr>
      </w:pPr>
      <w:hyperlink w:anchor="_Toc484084908" w:history="1">
        <w:r w:rsidRPr="003F27AB">
          <w:rPr>
            <w:rStyle w:val="Hiperpovezava"/>
            <w:b w:val="0"/>
            <w:i/>
            <w:noProof/>
            <w:color w:val="005A9E"/>
            <w:sz w:val="22"/>
            <w:u w:val="words"/>
          </w:rPr>
          <w:t>3.</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Uskladitev osebnih podatkov lastnika/plačnika na merilnem mestu v okviru istega plačnika brez</w:t>
        </w:r>
        <w:r w:rsidR="003F27AB" w:rsidRPr="003F27AB">
          <w:rPr>
            <w:rStyle w:val="Hiperpovezava"/>
            <w:b w:val="0"/>
            <w:i/>
            <w:noProof/>
            <w:color w:val="005A9E"/>
            <w:sz w:val="22"/>
            <w:u w:val="words"/>
          </w:rPr>
          <w:t xml:space="preserve">                                                                                   </w:t>
        </w:r>
        <w:r w:rsidRPr="003F27AB">
          <w:rPr>
            <w:rStyle w:val="Hiperpovezava"/>
            <w:b w:val="0"/>
            <w:i/>
            <w:noProof/>
            <w:color w:val="005A9E"/>
            <w:sz w:val="22"/>
            <w:u w:val="words"/>
          </w:rPr>
          <w:t xml:space="preserve"> </w:t>
        </w:r>
        <w:r w:rsidR="003F27AB" w:rsidRPr="003F27AB">
          <w:rPr>
            <w:rStyle w:val="Hiperpovezava"/>
            <w:b w:val="0"/>
            <w:i/>
            <w:noProof/>
            <w:color w:val="005A9E"/>
            <w:sz w:val="22"/>
            <w:u w:val="words"/>
          </w:rPr>
          <w:t xml:space="preserve">                             </w:t>
        </w:r>
        <w:r w:rsidRPr="003F27AB">
          <w:rPr>
            <w:rStyle w:val="Hiperpovezava"/>
            <w:b w:val="0"/>
            <w:i/>
            <w:noProof/>
            <w:color w:val="005A9E"/>
            <w:sz w:val="22"/>
            <w:u w:val="words"/>
          </w:rPr>
          <w:t>menjave dobavitelja</w:t>
        </w:r>
      </w:hyperlink>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hyperlink w:anchor="_Toc484084909" w:history="1">
        <w:r w:rsidRPr="003F27AB">
          <w:rPr>
            <w:rStyle w:val="Hiperpovezava"/>
            <w:b w:val="0"/>
            <w:i/>
            <w:noProof/>
            <w:color w:val="005A9E"/>
            <w:sz w:val="22"/>
            <w:u w:val="words"/>
          </w:rPr>
          <w:t>4.</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Sprememba lastnika, ki je hkrati tudi plačnik in naslovnik na merilnem mestu</w:t>
        </w:r>
      </w:hyperlink>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hyperlink w:anchor="_Toc484084910" w:history="1">
        <w:r w:rsidRPr="003F27AB">
          <w:rPr>
            <w:rStyle w:val="Hiperpovezava"/>
            <w:b w:val="0"/>
            <w:i/>
            <w:noProof/>
            <w:color w:val="005A9E"/>
            <w:sz w:val="22"/>
            <w:u w:val="words"/>
          </w:rPr>
          <w:t>5.</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Sprememba lastnika, če ja več solastnikov merilnega mesta</w:t>
        </w:r>
      </w:hyperlink>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hyperlink w:anchor="_Toc484084911" w:history="1">
        <w:r w:rsidRPr="003F27AB">
          <w:rPr>
            <w:rStyle w:val="Hiperpovezava"/>
            <w:b w:val="0"/>
            <w:i/>
            <w:noProof/>
            <w:color w:val="005A9E"/>
            <w:sz w:val="22"/>
            <w:u w:val="words"/>
          </w:rPr>
          <w:t>6.</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Sprememba lastnika, ki ni plačnik na merilnem mestu; naslovnik je enak plačniku</w:t>
        </w:r>
      </w:hyperlink>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hyperlink w:anchor="_Toc484084912" w:history="1">
        <w:r w:rsidRPr="003F27AB">
          <w:rPr>
            <w:rStyle w:val="Hiperpovezava"/>
            <w:b w:val="0"/>
            <w:i/>
            <w:noProof/>
            <w:color w:val="005A9E"/>
            <w:sz w:val="22"/>
            <w:u w:val="words"/>
          </w:rPr>
          <w:t>7.</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Sprememba lastnika, ki ni plačnik na merilnem mestu; naslovnik ni enak plačniku</w:t>
        </w:r>
      </w:hyperlink>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hyperlink w:anchor="_Toc484084913" w:history="1">
        <w:r w:rsidRPr="003F27AB">
          <w:rPr>
            <w:rStyle w:val="Hiperpovezava"/>
            <w:b w:val="0"/>
            <w:i/>
            <w:noProof/>
            <w:color w:val="005A9E"/>
            <w:sz w:val="22"/>
            <w:u w:val="words"/>
          </w:rPr>
          <w:t>8.</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Sprememba plačnika; naslovnik je enak plačniku</w:t>
        </w:r>
      </w:hyperlink>
    </w:p>
    <w:p w:rsidR="001939E8" w:rsidRPr="003F27AB" w:rsidRDefault="001939E8" w:rsidP="001939E8">
      <w:pPr>
        <w:pStyle w:val="Kazalovsebine1"/>
        <w:tabs>
          <w:tab w:val="left" w:pos="440"/>
          <w:tab w:val="right" w:pos="9062"/>
        </w:tabs>
        <w:spacing w:before="0" w:after="0"/>
        <w:rPr>
          <w:rFonts w:eastAsiaTheme="minorEastAsia"/>
          <w:b w:val="0"/>
          <w:bCs w:val="0"/>
          <w:i/>
          <w:noProof/>
          <w:color w:val="005A9E"/>
          <w:sz w:val="22"/>
          <w:szCs w:val="22"/>
          <w:u w:val="words"/>
          <w:lang w:eastAsia="sl-SI"/>
        </w:rPr>
      </w:pPr>
      <w:hyperlink w:anchor="_Toc484084914" w:history="1">
        <w:r w:rsidRPr="003F27AB">
          <w:rPr>
            <w:rStyle w:val="Hiperpovezava"/>
            <w:b w:val="0"/>
            <w:i/>
            <w:noProof/>
            <w:color w:val="005A9E"/>
            <w:sz w:val="22"/>
            <w:u w:val="words"/>
          </w:rPr>
          <w:t>9.</w:t>
        </w:r>
        <w:r w:rsidRPr="003F27AB">
          <w:rPr>
            <w:rFonts w:eastAsiaTheme="minorEastAsia"/>
            <w:b w:val="0"/>
            <w:bCs w:val="0"/>
            <w:i/>
            <w:noProof/>
            <w:color w:val="005A9E"/>
            <w:sz w:val="22"/>
            <w:szCs w:val="22"/>
            <w:u w:val="words"/>
            <w:lang w:eastAsia="sl-SI"/>
          </w:rPr>
          <w:tab/>
        </w:r>
        <w:r w:rsidRPr="003F27AB">
          <w:rPr>
            <w:rStyle w:val="Hiperpovezava"/>
            <w:b w:val="0"/>
            <w:i/>
            <w:noProof/>
            <w:color w:val="005A9E"/>
            <w:sz w:val="22"/>
            <w:u w:val="words"/>
          </w:rPr>
          <w:t>Sprememb</w:t>
        </w:r>
        <w:r w:rsidRPr="003F27AB">
          <w:rPr>
            <w:rStyle w:val="Hiperpovezava"/>
            <w:b w:val="0"/>
            <w:i/>
            <w:noProof/>
            <w:color w:val="005A9E"/>
            <w:sz w:val="22"/>
            <w:u w:val="words"/>
          </w:rPr>
          <w:t>a</w:t>
        </w:r>
        <w:r w:rsidRPr="003F27AB">
          <w:rPr>
            <w:rStyle w:val="Hiperpovezava"/>
            <w:b w:val="0"/>
            <w:i/>
            <w:noProof/>
            <w:color w:val="005A9E"/>
            <w:sz w:val="22"/>
            <w:u w:val="words"/>
          </w:rPr>
          <w:t xml:space="preserve"> plačnika; naslovnik ni enak plačniku</w:t>
        </w:r>
      </w:hyperlink>
    </w:p>
    <w:p w:rsidR="001939E8" w:rsidRPr="003F27AB" w:rsidRDefault="001939E8" w:rsidP="001939E8">
      <w:pPr>
        <w:pStyle w:val="Kazalovsebine1"/>
        <w:tabs>
          <w:tab w:val="left" w:pos="660"/>
          <w:tab w:val="right" w:pos="9062"/>
        </w:tabs>
        <w:spacing w:before="0" w:after="0"/>
        <w:rPr>
          <w:rFonts w:eastAsiaTheme="minorEastAsia"/>
          <w:b w:val="0"/>
          <w:bCs w:val="0"/>
          <w:i/>
          <w:noProof/>
          <w:color w:val="005A9E"/>
          <w:sz w:val="22"/>
          <w:szCs w:val="22"/>
          <w:u w:val="words"/>
          <w:lang w:eastAsia="sl-SI"/>
        </w:rPr>
      </w:pPr>
      <w:hyperlink w:anchor="_Toc484084915" w:history="1">
        <w:r w:rsidRPr="003F27AB">
          <w:rPr>
            <w:rStyle w:val="Hiperpovezava"/>
            <w:b w:val="0"/>
            <w:i/>
            <w:noProof/>
            <w:color w:val="005A9E"/>
            <w:sz w:val="22"/>
            <w:u w:val="words"/>
          </w:rPr>
          <w:t>10.</w:t>
        </w:r>
        <w:r w:rsidR="003F27AB" w:rsidRPr="003F27AB">
          <w:rPr>
            <w:rFonts w:eastAsiaTheme="minorEastAsia"/>
            <w:b w:val="0"/>
            <w:bCs w:val="0"/>
            <w:i/>
            <w:noProof/>
            <w:color w:val="005A9E"/>
            <w:sz w:val="22"/>
            <w:szCs w:val="22"/>
            <w:u w:val="words"/>
            <w:lang w:eastAsia="sl-SI"/>
          </w:rPr>
          <w:t xml:space="preserve">   </w:t>
        </w:r>
        <w:r w:rsidRPr="003F27AB">
          <w:rPr>
            <w:rStyle w:val="Hiperpovezava"/>
            <w:b w:val="0"/>
            <w:i/>
            <w:noProof/>
            <w:color w:val="005A9E"/>
            <w:sz w:val="22"/>
            <w:u w:val="words"/>
          </w:rPr>
          <w:t>Spremem</w:t>
        </w:r>
        <w:r w:rsidRPr="003F27AB">
          <w:rPr>
            <w:rStyle w:val="Hiperpovezava"/>
            <w:b w:val="0"/>
            <w:i/>
            <w:noProof/>
            <w:color w:val="005A9E"/>
            <w:sz w:val="22"/>
            <w:u w:val="words"/>
          </w:rPr>
          <w:t>b</w:t>
        </w:r>
        <w:r w:rsidRPr="003F27AB">
          <w:rPr>
            <w:rStyle w:val="Hiperpovezava"/>
            <w:b w:val="0"/>
            <w:i/>
            <w:noProof/>
            <w:color w:val="005A9E"/>
            <w:sz w:val="22"/>
            <w:u w:val="words"/>
          </w:rPr>
          <w:t>a naslova za pošiljanje pošte; plačnik se ne spremeni</w:t>
        </w:r>
      </w:hyperlink>
    </w:p>
    <w:p w:rsidR="001939E8" w:rsidRPr="003F27AB" w:rsidRDefault="001939E8" w:rsidP="001939E8">
      <w:pPr>
        <w:pStyle w:val="Kazalovsebine1"/>
        <w:tabs>
          <w:tab w:val="left" w:pos="660"/>
          <w:tab w:val="right" w:pos="9062"/>
        </w:tabs>
        <w:spacing w:before="0" w:after="0"/>
        <w:rPr>
          <w:rFonts w:eastAsiaTheme="minorEastAsia"/>
          <w:b w:val="0"/>
          <w:bCs w:val="0"/>
          <w:i/>
          <w:noProof/>
          <w:color w:val="005A9E"/>
          <w:sz w:val="22"/>
          <w:szCs w:val="22"/>
          <w:u w:val="words"/>
          <w:lang w:eastAsia="sl-SI"/>
        </w:rPr>
      </w:pPr>
      <w:hyperlink w:anchor="_Toc484084916" w:history="1">
        <w:r w:rsidRPr="003F27AB">
          <w:rPr>
            <w:rStyle w:val="Hiperpovezava"/>
            <w:b w:val="0"/>
            <w:i/>
            <w:noProof/>
            <w:color w:val="005A9E"/>
            <w:sz w:val="22"/>
            <w:u w:val="words"/>
          </w:rPr>
          <w:t>11.</w:t>
        </w:r>
        <w:r w:rsidR="003F27AB" w:rsidRPr="003F27AB">
          <w:rPr>
            <w:rFonts w:eastAsiaTheme="minorEastAsia"/>
            <w:b w:val="0"/>
            <w:bCs w:val="0"/>
            <w:i/>
            <w:noProof/>
            <w:color w:val="005A9E"/>
            <w:sz w:val="22"/>
            <w:szCs w:val="22"/>
            <w:u w:val="words"/>
            <w:lang w:eastAsia="sl-SI"/>
          </w:rPr>
          <w:t xml:space="preserve">   </w:t>
        </w:r>
        <w:r w:rsidRPr="003F27AB">
          <w:rPr>
            <w:rStyle w:val="Hiperpovezava"/>
            <w:b w:val="0"/>
            <w:i/>
            <w:noProof/>
            <w:color w:val="005A9E"/>
            <w:sz w:val="22"/>
            <w:u w:val="words"/>
          </w:rPr>
          <w:t>Urejanje spremem</w:t>
        </w:r>
        <w:r w:rsidRPr="003F27AB">
          <w:rPr>
            <w:rStyle w:val="Hiperpovezava"/>
            <w:b w:val="0"/>
            <w:i/>
            <w:noProof/>
            <w:color w:val="005A9E"/>
            <w:sz w:val="22"/>
            <w:u w:val="words"/>
          </w:rPr>
          <w:t>b</w:t>
        </w:r>
        <w:r w:rsidRPr="003F27AB">
          <w:rPr>
            <w:rStyle w:val="Hiperpovezava"/>
            <w:b w:val="0"/>
            <w:i/>
            <w:noProof/>
            <w:color w:val="005A9E"/>
            <w:sz w:val="22"/>
            <w:u w:val="words"/>
          </w:rPr>
          <w:t xml:space="preserve"> na merilnem mestu v primeru smrti lastnika merilnega mesta</w:t>
        </w:r>
      </w:hyperlink>
    </w:p>
    <w:p w:rsidR="003A0293" w:rsidRPr="00566E1E" w:rsidRDefault="001939E8" w:rsidP="007820C3">
      <w:pPr>
        <w:jc w:val="both"/>
        <w:rPr>
          <w:b/>
          <w:color w:val="0070C0"/>
          <w:sz w:val="24"/>
          <w:szCs w:val="24"/>
        </w:rPr>
      </w:pPr>
      <w:r w:rsidRPr="003F27AB">
        <w:rPr>
          <w:i/>
          <w:color w:val="005A9E"/>
          <w:szCs w:val="24"/>
          <w:u w:val="words"/>
        </w:rPr>
        <w:fldChar w:fldCharType="end"/>
      </w:r>
    </w:p>
    <w:p w:rsidR="005000D3" w:rsidRPr="003C3FCD" w:rsidRDefault="005000D3" w:rsidP="007820C3">
      <w:pPr>
        <w:jc w:val="both"/>
        <w:rPr>
          <w:b/>
        </w:rPr>
      </w:pPr>
    </w:p>
    <w:p w:rsidR="00EC1017" w:rsidRPr="003A0293" w:rsidRDefault="0015204F" w:rsidP="003A0293">
      <w:pPr>
        <w:pStyle w:val="Naslov1"/>
      </w:pPr>
      <w:bookmarkStart w:id="1" w:name="_Toc484084489"/>
      <w:bookmarkStart w:id="2" w:name="_Toc484084906"/>
      <w:r w:rsidRPr="003A0293">
        <w:t xml:space="preserve">Menjava </w:t>
      </w:r>
      <w:r w:rsidRPr="002E1E7F">
        <w:t>dobavitelja</w:t>
      </w:r>
      <w:bookmarkEnd w:id="1"/>
      <w:bookmarkEnd w:id="2"/>
    </w:p>
    <w:p w:rsidR="00D63A18" w:rsidRDefault="00D63A18" w:rsidP="007820C3">
      <w:pPr>
        <w:jc w:val="both"/>
      </w:pPr>
      <w:r>
        <w:t xml:space="preserve">V procesu menjava dobavitelja se zamenja samo dobavitelj na merilnem mestu, partnerji: lastnik, plačnik in naslovnik ostanejo isti. Dobavitelj vloži po pooblastilu odjemalca zahtevo za menjavo dobavitelja in priloži ostalo zahtevano dokumentacijo. Podatki o plačniku in podpis v pogodbi o dobavi </w:t>
      </w:r>
      <w:r w:rsidR="00FC0248">
        <w:t>elektrike se morajo ujemati</w:t>
      </w:r>
      <w:r w:rsidR="003D6D99">
        <w:t xml:space="preserve"> </w:t>
      </w:r>
      <w:r w:rsidR="00FC0248">
        <w:t>s</w:t>
      </w:r>
      <w:r>
        <w:t xml:space="preserve"> podatk</w:t>
      </w:r>
      <w:r w:rsidR="00FC0248">
        <w:t>i</w:t>
      </w:r>
      <w:r>
        <w:t xml:space="preserve"> o plačniku v </w:t>
      </w:r>
      <w:r w:rsidR="00143AB8">
        <w:t xml:space="preserve">enotnem registru merilnih mest </w:t>
      </w:r>
      <w:r>
        <w:t xml:space="preserve"> distribucijskega operaterja. </w:t>
      </w:r>
    </w:p>
    <w:p w:rsidR="00D63A18" w:rsidRDefault="00D63A18" w:rsidP="007820C3">
      <w:pPr>
        <w:jc w:val="both"/>
      </w:pPr>
    </w:p>
    <w:p w:rsidR="00D63A18" w:rsidRDefault="00D63A18" w:rsidP="007820C3">
      <w:pPr>
        <w:jc w:val="both"/>
      </w:pPr>
      <w:r>
        <w:t xml:space="preserve">Če sta v </w:t>
      </w:r>
      <w:r w:rsidR="00143AB8">
        <w:t>enotn</w:t>
      </w:r>
      <w:r w:rsidR="008B5D2A">
        <w:t>em</w:t>
      </w:r>
      <w:r w:rsidR="00143AB8">
        <w:t xml:space="preserve"> registru merilnih mest</w:t>
      </w:r>
      <w:r>
        <w:t xml:space="preserve"> distribucijskega operaterja kot plačnik navedena mož in žena, mora biti pogodba o dobavi elektrike podpisana s strani obeh. Če je pogodba podpisana samo s strani ene osebe, mora biti priloženo pooblastilo podpisniku za podpis pogodbe o dobavi elektrike.</w:t>
      </w:r>
    </w:p>
    <w:p w:rsidR="00D63A18" w:rsidRDefault="00D63A18" w:rsidP="007820C3">
      <w:pPr>
        <w:jc w:val="both"/>
      </w:pPr>
    </w:p>
    <w:p w:rsidR="00FC6CB2" w:rsidRPr="00E036A2" w:rsidRDefault="00FC6CB2" w:rsidP="007820C3">
      <w:pPr>
        <w:jc w:val="both"/>
        <w:rPr>
          <w:u w:val="single"/>
        </w:rPr>
      </w:pPr>
      <w:r w:rsidRPr="00E036A2">
        <w:rPr>
          <w:u w:val="single"/>
        </w:rPr>
        <w:t>Obrazec SODO:</w:t>
      </w:r>
    </w:p>
    <w:p w:rsidR="00566E1E" w:rsidRDefault="00FC6CB2" w:rsidP="007820C3">
      <w:pPr>
        <w:pStyle w:val="Odstavekseznama"/>
        <w:numPr>
          <w:ilvl w:val="0"/>
          <w:numId w:val="13"/>
        </w:numPr>
        <w:jc w:val="both"/>
      </w:pPr>
      <w:r>
        <w:t xml:space="preserve">Obrazec št. 4 – Zahteva za menjavo dobavitelja </w:t>
      </w:r>
      <w:r w:rsidR="00ED2208">
        <w:t>(</w:t>
      </w:r>
      <w:r w:rsidR="00214E50" w:rsidRPr="00AD34E7">
        <w:rPr>
          <w:u w:val="single"/>
        </w:rPr>
        <w:t>izjemoma</w:t>
      </w:r>
      <w:r w:rsidR="00ED2208">
        <w:t>)</w:t>
      </w:r>
    </w:p>
    <w:p w:rsidR="00FC6CB2" w:rsidRPr="00C108C9" w:rsidRDefault="00C108C9" w:rsidP="00566E1E">
      <w:pPr>
        <w:ind w:left="360"/>
        <w:jc w:val="both"/>
        <w:rPr>
          <w:i/>
        </w:rPr>
      </w:pPr>
      <w:r w:rsidRPr="00C108C9">
        <w:rPr>
          <w:i/>
        </w:rPr>
        <w:t>(</w:t>
      </w:r>
      <w:r w:rsidR="00143AB8" w:rsidRPr="00C108C9">
        <w:rPr>
          <w:i/>
        </w:rPr>
        <w:t>Obrazec je obvezen s</w:t>
      </w:r>
      <w:r w:rsidR="00566E1E" w:rsidRPr="00C108C9">
        <w:rPr>
          <w:i/>
        </w:rPr>
        <w:t xml:space="preserve">amo </w:t>
      </w:r>
      <w:r w:rsidR="00FC6CB2" w:rsidRPr="00C108C9">
        <w:rPr>
          <w:i/>
        </w:rPr>
        <w:t>v primeru, ko distribucijski operater ne zagotovi elektronske predaje zahtev za menjavo dobavitelja neprekinjeno več kot 3 delovne dni, in poziv objavi na spletni strani.</w:t>
      </w:r>
      <w:r w:rsidRPr="00C108C9">
        <w:rPr>
          <w:i/>
        </w:rPr>
        <w:t>)</w:t>
      </w:r>
    </w:p>
    <w:p w:rsidR="00D81447" w:rsidRPr="00566E1E" w:rsidRDefault="00D81447" w:rsidP="007820C3">
      <w:pPr>
        <w:jc w:val="both"/>
      </w:pPr>
    </w:p>
    <w:p w:rsidR="00AB455F" w:rsidRPr="00566E1E" w:rsidRDefault="00AB455F" w:rsidP="003A0293">
      <w:pPr>
        <w:pStyle w:val="Naslov1"/>
      </w:pPr>
      <w:bookmarkStart w:id="3" w:name="_Toc484084490"/>
      <w:bookmarkStart w:id="4" w:name="_Toc484084907"/>
      <w:r w:rsidRPr="00566E1E">
        <w:t>Menjava dobavitelja in uskladitev osebnih podatkov lastnika/plačnika na merilnem mestu</w:t>
      </w:r>
      <w:bookmarkEnd w:id="3"/>
      <w:bookmarkEnd w:id="4"/>
    </w:p>
    <w:p w:rsidR="00D63A18" w:rsidRDefault="00D63A18" w:rsidP="007820C3">
      <w:pPr>
        <w:jc w:val="both"/>
      </w:pPr>
      <w:r>
        <w:t xml:space="preserve">Če je v </w:t>
      </w:r>
      <w:r w:rsidR="008B5D2A">
        <w:t>enot</w:t>
      </w:r>
      <w:r w:rsidR="00143AB8">
        <w:t>n</w:t>
      </w:r>
      <w:r w:rsidR="008B5D2A">
        <w:t>e</w:t>
      </w:r>
      <w:r w:rsidR="00143AB8">
        <w:t>m registru merilnih mest</w:t>
      </w:r>
      <w:r>
        <w:t xml:space="preserve"> distribucijskega operaterja pred menjavo dobavitelja treba spremeniti/uskladiti osebne podatke lastnika ali plačnika</w:t>
      </w:r>
      <w:r w:rsidR="00DF553E">
        <w:t xml:space="preserve"> (ime, priimek, naslov stalnega bivališča)</w:t>
      </w:r>
      <w:r>
        <w:t xml:space="preserve">, novi dobavitelj s pooblastilom lastnika/plačnika </w:t>
      </w:r>
      <w:r w:rsidR="005A124A">
        <w:t xml:space="preserve">ali s sklenjeno pogodbo o dobavi </w:t>
      </w:r>
      <w:r w:rsidR="003D6D99">
        <w:t xml:space="preserve">elektrike </w:t>
      </w:r>
      <w:r>
        <w:t xml:space="preserve">vloži zahtevo za spremembo </w:t>
      </w:r>
      <w:r w:rsidR="00214E50">
        <w:t xml:space="preserve">naziva ali sedeža podjetja/fizične osebe preko modula </w:t>
      </w:r>
      <w:r w:rsidR="00D759FE" w:rsidRPr="00D759FE">
        <w:t>Zahteve dobavitelja in vrsta zahteve: Sprememba naziva ali sedeža podjetja/fizične osebe.</w:t>
      </w:r>
    </w:p>
    <w:p w:rsidR="00D81447" w:rsidRDefault="00D81447" w:rsidP="007820C3">
      <w:pPr>
        <w:ind w:left="360"/>
        <w:jc w:val="both"/>
      </w:pPr>
    </w:p>
    <w:p w:rsidR="00D63A18" w:rsidRDefault="00D63A18" w:rsidP="00D81447">
      <w:pPr>
        <w:jc w:val="both"/>
      </w:pPr>
      <w:r>
        <w:t xml:space="preserve">V tem primeru ostane partner na merilnem mestu isti, gre samo za uskladitev osebnih podatkov na partnerju. Uskladitev (sprememba) podatkov je mogoča samo v okviru iste </w:t>
      </w:r>
      <w:r w:rsidR="00C108C9">
        <w:t xml:space="preserve">fizične osebe in </w:t>
      </w:r>
      <w:r>
        <w:t xml:space="preserve">davčne številke. Podatki se spreminjajo za navedeno merilno mesto in tudi za vsa merilna mesta, ki pripadajo istemu lastniku ali plačniku, ki je evidentiran v </w:t>
      </w:r>
      <w:r w:rsidR="000A12FE">
        <w:t xml:space="preserve">evidenci merilnih mest izvajalca nalog </w:t>
      </w:r>
      <w:r>
        <w:t xml:space="preserve"> distribucijskega operaterja. Obrazec je namenjen spremembi osebnih podatkov samo za fizične osebe.</w:t>
      </w:r>
    </w:p>
    <w:p w:rsidR="00214E50" w:rsidRDefault="00214E50" w:rsidP="00D81447">
      <w:pPr>
        <w:jc w:val="both"/>
      </w:pPr>
    </w:p>
    <w:p w:rsidR="002E1E7F" w:rsidRDefault="002E1E7F" w:rsidP="00214E50">
      <w:pPr>
        <w:jc w:val="both"/>
        <w:rPr>
          <w:u w:val="single"/>
        </w:rPr>
      </w:pPr>
    </w:p>
    <w:p w:rsidR="00214E50" w:rsidRPr="00E036A2" w:rsidRDefault="00214E50" w:rsidP="00214E50">
      <w:pPr>
        <w:jc w:val="both"/>
        <w:rPr>
          <w:u w:val="single"/>
        </w:rPr>
      </w:pPr>
      <w:r w:rsidRPr="00E036A2">
        <w:rPr>
          <w:u w:val="single"/>
        </w:rPr>
        <w:lastRenderedPageBreak/>
        <w:t>Obrazec SODO:</w:t>
      </w:r>
    </w:p>
    <w:p w:rsidR="00214E50" w:rsidRDefault="00214E50" w:rsidP="00214E50">
      <w:pPr>
        <w:pStyle w:val="Odstavekseznama"/>
        <w:numPr>
          <w:ilvl w:val="0"/>
          <w:numId w:val="13"/>
        </w:numPr>
        <w:jc w:val="both"/>
      </w:pPr>
      <w:r>
        <w:t>Obrazec št. 11 – Izjava o spremembi osebnih podatkov</w:t>
      </w:r>
    </w:p>
    <w:p w:rsidR="00214E50" w:rsidRDefault="00214E50" w:rsidP="007820C3">
      <w:pPr>
        <w:jc w:val="both"/>
      </w:pPr>
    </w:p>
    <w:p w:rsidR="00214E50" w:rsidRDefault="00D63A18" w:rsidP="007820C3">
      <w:pPr>
        <w:jc w:val="both"/>
      </w:pPr>
      <w:r>
        <w:t>Po izvedeni spremembi v okviru istega partnerja dobavitelj vloži zahtevo za menjavo dobavitelja.</w:t>
      </w:r>
      <w:r w:rsidR="00DF553E">
        <w:t xml:space="preserve"> </w:t>
      </w:r>
    </w:p>
    <w:p w:rsidR="00D63A18" w:rsidRPr="00D63A18" w:rsidRDefault="00D63A18" w:rsidP="007820C3">
      <w:pPr>
        <w:jc w:val="both"/>
        <w:rPr>
          <w:b/>
        </w:rPr>
      </w:pPr>
    </w:p>
    <w:p w:rsidR="00831512" w:rsidRPr="00566E1E" w:rsidRDefault="00FC6CB2" w:rsidP="003A0293">
      <w:pPr>
        <w:pStyle w:val="Naslov1"/>
      </w:pPr>
      <w:bookmarkStart w:id="5" w:name="_Toc484084491"/>
      <w:bookmarkStart w:id="6" w:name="_Toc484084908"/>
      <w:r w:rsidRPr="00566E1E">
        <w:t xml:space="preserve">Uskladitev </w:t>
      </w:r>
      <w:r w:rsidR="00831512" w:rsidRPr="00566E1E">
        <w:t xml:space="preserve">osebnih podatkov lastnika/plačnika na merilnem mestu </w:t>
      </w:r>
      <w:r w:rsidRPr="00566E1E">
        <w:t xml:space="preserve">v okviru istega plačnika </w:t>
      </w:r>
      <w:r w:rsidR="00831512" w:rsidRPr="00566E1E">
        <w:t>brez menjave dobavitelja</w:t>
      </w:r>
      <w:bookmarkEnd w:id="5"/>
      <w:bookmarkEnd w:id="6"/>
      <w:r w:rsidR="00831512" w:rsidRPr="00566E1E">
        <w:t xml:space="preserve"> </w:t>
      </w:r>
    </w:p>
    <w:p w:rsidR="002A2857" w:rsidRDefault="002A2857" w:rsidP="007820C3">
      <w:pPr>
        <w:jc w:val="both"/>
      </w:pPr>
      <w:r>
        <w:t>V primeru, da je potrebna uskladitev osebnih podatkov na merilnih mestih, ki so že v bilančni skupini dobavitelja, dobavitelj vloži zahtevo za uskladitev osebnih podatkov lastnika/plačnika preko modul</w:t>
      </w:r>
      <w:r w:rsidR="00143AB8">
        <w:t>a Zahteve dobavitelja</w:t>
      </w:r>
      <w:r w:rsidR="00F052D7">
        <w:t xml:space="preserve"> in</w:t>
      </w:r>
      <w:r w:rsidR="00143AB8">
        <w:t xml:space="preserve"> vrsta zahteve</w:t>
      </w:r>
      <w:r>
        <w:t>: Sprememba naziva ali sedeža podjetja/fizične osebe.</w:t>
      </w:r>
    </w:p>
    <w:p w:rsidR="002A2857" w:rsidRDefault="002A2857" w:rsidP="007820C3">
      <w:pPr>
        <w:jc w:val="both"/>
      </w:pPr>
    </w:p>
    <w:p w:rsidR="000A12FE" w:rsidRDefault="000A12FE" w:rsidP="007820C3">
      <w:pPr>
        <w:jc w:val="both"/>
      </w:pPr>
      <w:r w:rsidRPr="000A12FE">
        <w:t>V tem primeru ostane partner na merilnem mestu isti, gre samo za uskladitev osebnih podatkov na partnerju</w:t>
      </w:r>
      <w:r w:rsidR="001F4673">
        <w:t xml:space="preserve"> (ime, priimek, naslov stalnega bivališča)</w:t>
      </w:r>
      <w:r w:rsidRPr="000A12FE">
        <w:t>. Uskladitev (sprememba) podatkov je mogoča samo v okviru iste</w:t>
      </w:r>
      <w:r w:rsidR="00C108C9">
        <w:t xml:space="preserve"> fizične osebe in</w:t>
      </w:r>
      <w:r w:rsidRPr="000A12FE">
        <w:t xml:space="preserve"> davčne številke. Podatki se spreminjajo za navedeno merilno mesto in tudi za vsa merilna mesta, ki pripadajo istemu lastniku </w:t>
      </w:r>
      <w:r w:rsidR="00D759FE">
        <w:t>oz.</w:t>
      </w:r>
      <w:r w:rsidRPr="000A12FE">
        <w:t xml:space="preserve"> plačniku, ki je evidentiran v evidenci merilnih mest izvajalca nalog  distribucijskega operaterja. Obrazec je namenjen spremembi osebnih podatkov samo za fizične osebe.</w:t>
      </w:r>
      <w:r>
        <w:t xml:space="preserve"> </w:t>
      </w:r>
    </w:p>
    <w:p w:rsidR="00D63A18" w:rsidRPr="00FC6CB2" w:rsidRDefault="00D63A18" w:rsidP="007820C3">
      <w:pPr>
        <w:jc w:val="both"/>
        <w:rPr>
          <w:b/>
        </w:rPr>
      </w:pPr>
    </w:p>
    <w:p w:rsidR="00831512" w:rsidRPr="00E036A2" w:rsidRDefault="00FC6CB2" w:rsidP="007820C3">
      <w:pPr>
        <w:jc w:val="both"/>
        <w:rPr>
          <w:u w:val="single"/>
        </w:rPr>
      </w:pPr>
      <w:r w:rsidRPr="00E036A2">
        <w:rPr>
          <w:u w:val="single"/>
        </w:rPr>
        <w:t xml:space="preserve">Obrazec </w:t>
      </w:r>
      <w:r w:rsidR="00831512" w:rsidRPr="00E036A2">
        <w:rPr>
          <w:u w:val="single"/>
        </w:rPr>
        <w:t>SODO:</w:t>
      </w:r>
    </w:p>
    <w:p w:rsidR="00831512" w:rsidRPr="00FC6CB2" w:rsidRDefault="00831512" w:rsidP="007820C3">
      <w:pPr>
        <w:pStyle w:val="Odstavekseznama"/>
        <w:numPr>
          <w:ilvl w:val="0"/>
          <w:numId w:val="13"/>
        </w:numPr>
        <w:jc w:val="both"/>
      </w:pPr>
      <w:r w:rsidRPr="00FC6CB2">
        <w:t>Obrazec št. 11 – Izjava o spremembi osebnih podatkov</w:t>
      </w:r>
    </w:p>
    <w:p w:rsidR="001610D8" w:rsidRDefault="001610D8" w:rsidP="007820C3">
      <w:pPr>
        <w:jc w:val="both"/>
      </w:pPr>
    </w:p>
    <w:p w:rsidR="002A2857" w:rsidRPr="00566E1E" w:rsidRDefault="002A2857" w:rsidP="003A0293">
      <w:pPr>
        <w:pStyle w:val="Naslov1"/>
      </w:pPr>
      <w:bookmarkStart w:id="7" w:name="_Toc484084492"/>
      <w:bookmarkStart w:id="8" w:name="_Toc484084909"/>
      <w:r w:rsidRPr="00566E1E">
        <w:t xml:space="preserve">Sprememba lastnika, ki je </w:t>
      </w:r>
      <w:r>
        <w:t xml:space="preserve">hkrati </w:t>
      </w:r>
      <w:r w:rsidRPr="00566E1E">
        <w:t>tudi plačnik in naslovnik na merilnem mestu</w:t>
      </w:r>
      <w:bookmarkEnd w:id="7"/>
      <w:bookmarkEnd w:id="8"/>
    </w:p>
    <w:p w:rsidR="002A2857" w:rsidRDefault="002A2857" w:rsidP="002A2857">
      <w:pPr>
        <w:jc w:val="both"/>
      </w:pPr>
      <w:r>
        <w:t>Za spremembo lastnika na merilnem mestu je treba k obrazcu SODO priložiti ustrezno dokazilo o lastništvu in dokazilo o primopredaji nepremičnine, to je primopredajni zapisnik.</w:t>
      </w:r>
    </w:p>
    <w:p w:rsidR="00C108C9" w:rsidRDefault="00C108C9" w:rsidP="002A2857">
      <w:pPr>
        <w:jc w:val="both"/>
      </w:pPr>
    </w:p>
    <w:p w:rsidR="00C108C9" w:rsidRDefault="00C108C9" w:rsidP="00541FFC">
      <w:pPr>
        <w:jc w:val="both"/>
      </w:pPr>
      <w:r>
        <w:t xml:space="preserve">Obrazec za spremembo </w:t>
      </w:r>
      <w:r w:rsidR="00D759FE">
        <w:t xml:space="preserve">lastnika podpišeta novi in dosedanji lastnik. Podpis </w:t>
      </w:r>
      <w:r w:rsidR="00405868">
        <w:t>dosedanejga</w:t>
      </w:r>
      <w:r w:rsidR="00D759FE">
        <w:t xml:space="preserve"> lastnika </w:t>
      </w:r>
      <w:r>
        <w:t xml:space="preserve">ni obvezen, če je </w:t>
      </w:r>
      <w:r w:rsidR="00541FFC">
        <w:t>priložen primopredajni zapisnik ali v primeru pridobitve lastninske pravice na osnovi dedovanja, nakupa nepremičnine na dražbi ali v stečajnem postopku, ipd.</w:t>
      </w:r>
    </w:p>
    <w:p w:rsidR="00214E50" w:rsidRDefault="00214E50" w:rsidP="002A2857">
      <w:pPr>
        <w:jc w:val="both"/>
      </w:pPr>
    </w:p>
    <w:p w:rsidR="002A2857" w:rsidRDefault="002A2857" w:rsidP="002A2857">
      <w:pPr>
        <w:jc w:val="both"/>
      </w:pPr>
      <w:r w:rsidRPr="008C2EB2">
        <w:t xml:space="preserve">Primopredajni zapisnik </w:t>
      </w:r>
      <w:r w:rsidR="00176E95">
        <w:t xml:space="preserve">je </w:t>
      </w:r>
      <w:r w:rsidRPr="008C2EB2">
        <w:t xml:space="preserve">obvezna priloga k obrazcu, </w:t>
      </w:r>
      <w:r w:rsidR="00176E95">
        <w:t xml:space="preserve">razen </w:t>
      </w:r>
      <w:r w:rsidRPr="008C2EB2">
        <w:t xml:space="preserve">če obrazec podpiše </w:t>
      </w:r>
      <w:r w:rsidR="00176E95">
        <w:t xml:space="preserve">tudi </w:t>
      </w:r>
      <w:r w:rsidRPr="008C2EB2">
        <w:t>dosedanji lastnik ali v primeru pridobitve lastninske pravice na osnovi dedovanja, nakupa nepremičnine na dražbi ali v stečajnem postopku, ipd.</w:t>
      </w:r>
    </w:p>
    <w:p w:rsidR="002A2857" w:rsidRDefault="002A2857" w:rsidP="002A2857">
      <w:pPr>
        <w:jc w:val="both"/>
      </w:pPr>
    </w:p>
    <w:p w:rsidR="00214E50" w:rsidRDefault="002A2857" w:rsidP="002A2857">
      <w:pPr>
        <w:jc w:val="both"/>
      </w:pPr>
      <w:r>
        <w:t xml:space="preserve">Obrazložitev: </w:t>
      </w:r>
    </w:p>
    <w:p w:rsidR="002A2857" w:rsidRDefault="002A2857" w:rsidP="002A2857">
      <w:pPr>
        <w:jc w:val="both"/>
      </w:pPr>
      <w:r>
        <w:t>Primopredajni zapisnik ne obstoji, kadar gre za izvirne načine pridobitve lastninske pravice, to je takrat, ko se lastninska pravica ne pridobi od prednika, ampak nastane na novo pri pridobitelju, npr.:</w:t>
      </w:r>
    </w:p>
    <w:p w:rsidR="002A2857" w:rsidRDefault="002A2857" w:rsidP="002A2857">
      <w:pPr>
        <w:pStyle w:val="Odstavekseznama"/>
        <w:numPr>
          <w:ilvl w:val="0"/>
          <w:numId w:val="18"/>
        </w:numPr>
        <w:jc w:val="both"/>
      </w:pPr>
      <w:proofErr w:type="spellStart"/>
      <w:r>
        <w:t>priposestvovanje</w:t>
      </w:r>
      <w:proofErr w:type="spellEnd"/>
      <w:r>
        <w:t xml:space="preserve"> nepremičnine, </w:t>
      </w:r>
    </w:p>
    <w:p w:rsidR="002A2857" w:rsidRDefault="002A2857" w:rsidP="002A2857">
      <w:pPr>
        <w:pStyle w:val="Odstavekseznama"/>
        <w:numPr>
          <w:ilvl w:val="0"/>
          <w:numId w:val="18"/>
        </w:numPr>
        <w:jc w:val="both"/>
      </w:pPr>
      <w:r>
        <w:t>nakup nepremičnine s sodno ali upravno odločbo (sklep o izročitvi nepremičnine v izvršilnem postopku in v stečajnem postopku),</w:t>
      </w:r>
    </w:p>
    <w:p w:rsidR="002A2857" w:rsidRDefault="002A2857" w:rsidP="002A2857">
      <w:pPr>
        <w:pStyle w:val="Odstavekseznama"/>
        <w:numPr>
          <w:ilvl w:val="0"/>
          <w:numId w:val="18"/>
        </w:numPr>
        <w:jc w:val="both"/>
      </w:pPr>
      <w:r>
        <w:t>nakup nepremičnine na dražbi,</w:t>
      </w:r>
    </w:p>
    <w:p w:rsidR="002A2857" w:rsidRDefault="002A2857" w:rsidP="002A2857">
      <w:pPr>
        <w:pStyle w:val="Odstavekseznama"/>
        <w:numPr>
          <w:ilvl w:val="0"/>
          <w:numId w:val="18"/>
        </w:numPr>
        <w:jc w:val="both"/>
      </w:pPr>
      <w:r>
        <w:t>v primerih univerzalnega  pravnega nasledstva (dedovanje) ter</w:t>
      </w:r>
    </w:p>
    <w:p w:rsidR="002A2857" w:rsidRDefault="002A2857" w:rsidP="002A2857">
      <w:pPr>
        <w:pStyle w:val="Odstavekseznama"/>
        <w:numPr>
          <w:ilvl w:val="0"/>
          <w:numId w:val="18"/>
        </w:numPr>
        <w:jc w:val="both"/>
      </w:pPr>
      <w:r>
        <w:t>v drugih primerih, ko to določa zakon (npr. Zakon o lastninjenju nepremičnin v družbeni lastnini).</w:t>
      </w:r>
    </w:p>
    <w:p w:rsidR="002A2857" w:rsidRDefault="002A2857" w:rsidP="002A2857">
      <w:pPr>
        <w:jc w:val="both"/>
      </w:pPr>
    </w:p>
    <w:p w:rsidR="002A2857" w:rsidRPr="00E036A2" w:rsidRDefault="002A2857" w:rsidP="002A2857">
      <w:pPr>
        <w:jc w:val="both"/>
        <w:rPr>
          <w:u w:val="single"/>
        </w:rPr>
      </w:pPr>
      <w:r w:rsidRPr="00E036A2">
        <w:rPr>
          <w:u w:val="single"/>
        </w:rPr>
        <w:t>Obrazec SODO:</w:t>
      </w:r>
    </w:p>
    <w:p w:rsidR="00C108C9" w:rsidRDefault="002A2857" w:rsidP="002A2857">
      <w:pPr>
        <w:pStyle w:val="Odstavekseznama"/>
        <w:numPr>
          <w:ilvl w:val="0"/>
          <w:numId w:val="12"/>
        </w:numPr>
        <w:jc w:val="both"/>
      </w:pPr>
      <w:r>
        <w:t xml:space="preserve">Obrazec št. 1 – Vloga za spremembo lastnika na merilnem mestu </w:t>
      </w:r>
    </w:p>
    <w:p w:rsidR="002A2857" w:rsidRDefault="002A2857" w:rsidP="00C108C9">
      <w:pPr>
        <w:ind w:firstLine="360"/>
        <w:jc w:val="both"/>
      </w:pPr>
      <w:r>
        <w:t>in ostala zahtevana dokumentacija</w:t>
      </w:r>
    </w:p>
    <w:p w:rsidR="002A2857" w:rsidRDefault="002A2857" w:rsidP="007820C3">
      <w:pPr>
        <w:jc w:val="both"/>
      </w:pPr>
    </w:p>
    <w:p w:rsidR="001610D8" w:rsidRPr="00566E1E" w:rsidRDefault="001610D8" w:rsidP="003A0293">
      <w:pPr>
        <w:pStyle w:val="Naslov1"/>
      </w:pPr>
      <w:bookmarkStart w:id="9" w:name="_Toc484084493"/>
      <w:bookmarkStart w:id="10" w:name="_Toc484084910"/>
      <w:r w:rsidRPr="00566E1E">
        <w:t>Sprememba lastnika, če ja več solastnikov merilnega mesta</w:t>
      </w:r>
      <w:bookmarkEnd w:id="9"/>
      <w:bookmarkEnd w:id="10"/>
    </w:p>
    <w:p w:rsidR="004049EE" w:rsidRDefault="004049EE" w:rsidP="007820C3">
      <w:pPr>
        <w:jc w:val="both"/>
      </w:pPr>
      <w:r w:rsidRPr="004049EE">
        <w:t xml:space="preserve">Če je na merilnem mestu več </w:t>
      </w:r>
      <w:r>
        <w:t>so</w:t>
      </w:r>
      <w:r w:rsidRPr="004049EE">
        <w:t>lastnikov</w:t>
      </w:r>
      <w:r>
        <w:t xml:space="preserve">, </w:t>
      </w:r>
      <w:r w:rsidR="008E7AF9">
        <w:t>le ti</w:t>
      </w:r>
      <w:r>
        <w:t xml:space="preserve"> pooblastijo enega izmed solastnikov, da </w:t>
      </w:r>
      <w:r w:rsidRPr="004049EE">
        <w:t>sklene novo pogodbo o uporabi sistema ter v svojem imenu ureja vse zadeve na merilnem mestu</w:t>
      </w:r>
      <w:r w:rsidR="00541FFC">
        <w:t>,</w:t>
      </w:r>
      <w:r w:rsidRPr="004049EE">
        <w:t xml:space="preserve"> vse do </w:t>
      </w:r>
      <w:r w:rsidR="0047090A">
        <w:t xml:space="preserve">naslednje spremembe </w:t>
      </w:r>
      <w:r w:rsidRPr="004049EE">
        <w:t>lastnika merilnega mesta</w:t>
      </w:r>
      <w:r>
        <w:t xml:space="preserve">. </w:t>
      </w:r>
      <w:r w:rsidR="0047090A">
        <w:t>V primeru solastništva merilnega mesta, je za</w:t>
      </w:r>
      <w:r>
        <w:t xml:space="preserve"> spremembo </w:t>
      </w:r>
      <w:r w:rsidR="0047090A">
        <w:t xml:space="preserve">lastnika </w:t>
      </w:r>
      <w:r>
        <w:t xml:space="preserve">na merilnem mestu </w:t>
      </w:r>
      <w:r w:rsidR="00541FFC">
        <w:t>treba</w:t>
      </w:r>
      <w:r>
        <w:t xml:space="preserve"> pridobiti 100 % soglasje vseh solastnikov.</w:t>
      </w:r>
    </w:p>
    <w:p w:rsidR="004049EE" w:rsidRPr="004049EE" w:rsidRDefault="004049EE" w:rsidP="007820C3">
      <w:pPr>
        <w:jc w:val="both"/>
      </w:pPr>
    </w:p>
    <w:p w:rsidR="001610D8" w:rsidRPr="00E036A2" w:rsidRDefault="000A12FE" w:rsidP="007820C3">
      <w:pPr>
        <w:jc w:val="both"/>
        <w:rPr>
          <w:u w:val="single"/>
        </w:rPr>
      </w:pPr>
      <w:r w:rsidRPr="00E036A2">
        <w:rPr>
          <w:u w:val="single"/>
        </w:rPr>
        <w:t xml:space="preserve">Obrazci </w:t>
      </w:r>
      <w:r w:rsidR="001610D8" w:rsidRPr="00E036A2">
        <w:rPr>
          <w:u w:val="single"/>
        </w:rPr>
        <w:t>SODO:</w:t>
      </w:r>
    </w:p>
    <w:p w:rsidR="00541FFC" w:rsidRDefault="00831512" w:rsidP="00D81447">
      <w:pPr>
        <w:pStyle w:val="Odstavekseznama"/>
        <w:numPr>
          <w:ilvl w:val="0"/>
          <w:numId w:val="17"/>
        </w:numPr>
        <w:jc w:val="both"/>
      </w:pPr>
      <w:r>
        <w:t xml:space="preserve">Obrazec št. 1 – Vloga za spremembo lastnika na merilnem mestu </w:t>
      </w:r>
    </w:p>
    <w:p w:rsidR="00831512" w:rsidRDefault="00831512" w:rsidP="00541FFC">
      <w:pPr>
        <w:ind w:firstLine="360"/>
        <w:jc w:val="both"/>
      </w:pPr>
      <w:r>
        <w:t>in ostala zahtevana dokumentacija</w:t>
      </w:r>
    </w:p>
    <w:p w:rsidR="002A2857" w:rsidRDefault="002A2857" w:rsidP="002A2857">
      <w:pPr>
        <w:pStyle w:val="Odstavekseznama"/>
        <w:numPr>
          <w:ilvl w:val="0"/>
          <w:numId w:val="17"/>
        </w:numPr>
        <w:jc w:val="both"/>
      </w:pPr>
      <w:r>
        <w:t>Obrazec št. 7 – Soglasje solastnikov za evidentiranje lastnika merilnega mesta</w:t>
      </w:r>
    </w:p>
    <w:p w:rsidR="001610D8" w:rsidRDefault="001610D8" w:rsidP="007820C3">
      <w:pPr>
        <w:jc w:val="both"/>
      </w:pPr>
    </w:p>
    <w:p w:rsidR="001B1209" w:rsidRPr="00566E1E" w:rsidRDefault="001B1209" w:rsidP="003A0293">
      <w:pPr>
        <w:pStyle w:val="Naslov1"/>
      </w:pPr>
      <w:bookmarkStart w:id="11" w:name="_Toc484084494"/>
      <w:bookmarkStart w:id="12" w:name="_Toc484084911"/>
      <w:r w:rsidRPr="00566E1E">
        <w:t>Sprememba lastnika, ki ni plačnik na merilnem mestu</w:t>
      </w:r>
      <w:r w:rsidR="00E8447A" w:rsidRPr="00566E1E">
        <w:t>; naslovnik je enak plačniku</w:t>
      </w:r>
      <w:bookmarkEnd w:id="11"/>
      <w:bookmarkEnd w:id="12"/>
    </w:p>
    <w:p w:rsidR="008C2EB2" w:rsidRDefault="006C3FA3" w:rsidP="007820C3">
      <w:pPr>
        <w:jc w:val="both"/>
      </w:pPr>
      <w:r>
        <w:t xml:space="preserve">Če se na merilnem mestu spremeni lastnik in plačnik ni enak lastniku, mora novi lastnik merilnega mesta podati soglasje za evidentiranje plačnika. </w:t>
      </w:r>
      <w:r w:rsidR="002A2857">
        <w:t xml:space="preserve">Soglasje za evidentiranje plačnika je potrebno tudi v primeru, </w:t>
      </w:r>
      <w:r w:rsidR="008B5D2A">
        <w:t>ko</w:t>
      </w:r>
      <w:r w:rsidR="002A2857">
        <w:t xml:space="preserve"> se na merilnem mestu spremeni lastnik, plačnik pa ostane isti</w:t>
      </w:r>
      <w:r w:rsidR="008B5D2A">
        <w:t>,</w:t>
      </w:r>
      <w:r w:rsidR="002A2857">
        <w:t xml:space="preserve"> kot je bil pred spremembo.</w:t>
      </w:r>
    </w:p>
    <w:p w:rsidR="006C3FA3" w:rsidRDefault="006C3FA3" w:rsidP="007820C3">
      <w:pPr>
        <w:jc w:val="both"/>
      </w:pPr>
    </w:p>
    <w:p w:rsidR="001B1209" w:rsidRPr="00E036A2" w:rsidRDefault="008C2EB2" w:rsidP="007820C3">
      <w:pPr>
        <w:jc w:val="both"/>
        <w:rPr>
          <w:u w:val="single"/>
        </w:rPr>
      </w:pPr>
      <w:r w:rsidRPr="00E036A2">
        <w:rPr>
          <w:u w:val="single"/>
        </w:rPr>
        <w:t xml:space="preserve">Obrazci </w:t>
      </w:r>
      <w:r w:rsidR="001B1209" w:rsidRPr="00E036A2">
        <w:rPr>
          <w:u w:val="single"/>
        </w:rPr>
        <w:t>SODO:</w:t>
      </w:r>
    </w:p>
    <w:p w:rsidR="001B1209" w:rsidRDefault="001B1209" w:rsidP="00D81447">
      <w:pPr>
        <w:pStyle w:val="Odstavekseznama"/>
        <w:numPr>
          <w:ilvl w:val="0"/>
          <w:numId w:val="19"/>
        </w:numPr>
        <w:jc w:val="both"/>
      </w:pPr>
      <w:r>
        <w:t xml:space="preserve">Obrazec št. 1 – Vloga za spremembo lastnika na merilnem mestu </w:t>
      </w:r>
    </w:p>
    <w:p w:rsidR="001B1209" w:rsidRDefault="001B1209" w:rsidP="00D81447">
      <w:pPr>
        <w:pStyle w:val="Odstavekseznama"/>
        <w:numPr>
          <w:ilvl w:val="0"/>
          <w:numId w:val="19"/>
        </w:numPr>
        <w:jc w:val="both"/>
      </w:pPr>
      <w:r>
        <w:t xml:space="preserve">Obrazec št. 2 – </w:t>
      </w:r>
      <w:r w:rsidRPr="00F630D5">
        <w:t xml:space="preserve">Soglasje </w:t>
      </w:r>
      <w:r>
        <w:t xml:space="preserve">lastnika </w:t>
      </w:r>
      <w:r w:rsidRPr="00F630D5">
        <w:t>za evidentiranje plačnika</w:t>
      </w:r>
    </w:p>
    <w:p w:rsidR="00D81447" w:rsidRDefault="00D81447" w:rsidP="007820C3">
      <w:pPr>
        <w:jc w:val="both"/>
      </w:pPr>
    </w:p>
    <w:p w:rsidR="00E8447A" w:rsidRPr="00566E1E" w:rsidRDefault="00E8447A" w:rsidP="003A0293">
      <w:pPr>
        <w:pStyle w:val="Naslov1"/>
      </w:pPr>
      <w:bookmarkStart w:id="13" w:name="_Toc484084495"/>
      <w:bookmarkStart w:id="14" w:name="_Toc484084912"/>
      <w:r w:rsidRPr="00566E1E">
        <w:t>Sprememba lastnika, ki ni plačnik na merilnem mestu; naslovnik ni enak plačniku</w:t>
      </w:r>
      <w:bookmarkEnd w:id="13"/>
      <w:bookmarkEnd w:id="14"/>
    </w:p>
    <w:p w:rsidR="006C3FA3" w:rsidRDefault="006C3FA3" w:rsidP="007820C3">
      <w:pPr>
        <w:jc w:val="both"/>
      </w:pPr>
      <w:r w:rsidRPr="006C3FA3">
        <w:t>Če se na merilnem mestu spremeni lastnik in plačnik ni enak lastniku</w:t>
      </w:r>
      <w:r w:rsidR="008B5D2A">
        <w:t>,</w:t>
      </w:r>
      <w:r w:rsidR="002A2857">
        <w:t xml:space="preserve"> hkrati pa </w:t>
      </w:r>
      <w:r w:rsidR="008B5D2A">
        <w:t xml:space="preserve">želi </w:t>
      </w:r>
      <w:r w:rsidR="002A2857">
        <w:t xml:space="preserve">plačnik </w:t>
      </w:r>
      <w:r w:rsidR="008B5D2A">
        <w:t>prejemati</w:t>
      </w:r>
      <w:r w:rsidR="002A2857">
        <w:t xml:space="preserve"> račune in ostale dokumente na naslov, ki je različen od naslova stalnega bivališča ali sedeža podjetja </w:t>
      </w:r>
      <w:r w:rsidR="008B5D2A">
        <w:t>(</w:t>
      </w:r>
      <w:r w:rsidR="002A2857">
        <w:t>pri pravnih osebah</w:t>
      </w:r>
      <w:r w:rsidR="008B5D2A">
        <w:t>)</w:t>
      </w:r>
      <w:r w:rsidR="002A2857">
        <w:t>, ali celo želi, da je naslovnik za dostavo računov in ostalih sporočil tretja oseba</w:t>
      </w:r>
      <w:r w:rsidRPr="006C3FA3">
        <w:t>, mora novi lastnik merilnega mesta podati soglasje za evidentiranje p</w:t>
      </w:r>
      <w:r>
        <w:t>lačnika</w:t>
      </w:r>
      <w:r w:rsidR="00B55F05">
        <w:t>, novi plačnik pa mora posredovati</w:t>
      </w:r>
      <w:r>
        <w:t xml:space="preserve"> vlogo za evidentiranje naslova za pošiljanje pošte</w:t>
      </w:r>
      <w:r w:rsidR="00B55F05">
        <w:t>, to je</w:t>
      </w:r>
      <w:r>
        <w:t xml:space="preserve"> naslov za dostavo računov in drugih dokumentov glede izvajanja pogodbe o uporabi sistema.</w:t>
      </w:r>
    </w:p>
    <w:p w:rsidR="006C3FA3" w:rsidRDefault="006C3FA3" w:rsidP="007820C3">
      <w:pPr>
        <w:jc w:val="both"/>
      </w:pPr>
    </w:p>
    <w:p w:rsidR="00E8447A" w:rsidRPr="00F052D7" w:rsidRDefault="006C3FA3" w:rsidP="007820C3">
      <w:pPr>
        <w:jc w:val="both"/>
        <w:rPr>
          <w:u w:val="single"/>
        </w:rPr>
      </w:pPr>
      <w:r w:rsidRPr="00F052D7">
        <w:rPr>
          <w:u w:val="single"/>
        </w:rPr>
        <w:t xml:space="preserve">Obrazci </w:t>
      </w:r>
      <w:r w:rsidR="00E8447A" w:rsidRPr="00F052D7">
        <w:rPr>
          <w:u w:val="single"/>
        </w:rPr>
        <w:t>SODO:</w:t>
      </w:r>
    </w:p>
    <w:p w:rsidR="00E8447A" w:rsidRDefault="00E8447A" w:rsidP="00D81447">
      <w:pPr>
        <w:pStyle w:val="Odstavekseznama"/>
        <w:numPr>
          <w:ilvl w:val="0"/>
          <w:numId w:val="20"/>
        </w:numPr>
        <w:jc w:val="both"/>
      </w:pPr>
      <w:r>
        <w:t xml:space="preserve">Obrazec št. 1 – Vloga za spremembo lastnika na merilnem mestu </w:t>
      </w:r>
    </w:p>
    <w:p w:rsidR="00E8447A" w:rsidRDefault="00E8447A" w:rsidP="00D81447">
      <w:pPr>
        <w:pStyle w:val="Odstavekseznama"/>
        <w:numPr>
          <w:ilvl w:val="0"/>
          <w:numId w:val="20"/>
        </w:numPr>
        <w:jc w:val="both"/>
      </w:pPr>
      <w:r>
        <w:t xml:space="preserve">Obrazec št. 2 – </w:t>
      </w:r>
      <w:r w:rsidRPr="00F630D5">
        <w:t xml:space="preserve">Soglasje </w:t>
      </w:r>
      <w:r>
        <w:t xml:space="preserve">lastnika </w:t>
      </w:r>
      <w:r w:rsidRPr="00F630D5">
        <w:t>za evidentiranje plačnika</w:t>
      </w:r>
    </w:p>
    <w:p w:rsidR="00E8447A" w:rsidRDefault="00E8447A" w:rsidP="00D81447">
      <w:pPr>
        <w:pStyle w:val="Odstavekseznama"/>
        <w:numPr>
          <w:ilvl w:val="0"/>
          <w:numId w:val="20"/>
        </w:numPr>
        <w:jc w:val="both"/>
      </w:pPr>
      <w:r>
        <w:t>Obrazec št. 3 – Vloga za evidentiranje naslova za pošiljanje pošte</w:t>
      </w:r>
    </w:p>
    <w:p w:rsidR="00D81447" w:rsidRDefault="00D81447" w:rsidP="007820C3">
      <w:pPr>
        <w:jc w:val="both"/>
      </w:pPr>
    </w:p>
    <w:p w:rsidR="00E8447A" w:rsidRPr="00D971C2" w:rsidRDefault="00E8447A" w:rsidP="003A0293">
      <w:pPr>
        <w:pStyle w:val="Naslov1"/>
      </w:pPr>
      <w:bookmarkStart w:id="15" w:name="_Toc484084496"/>
      <w:bookmarkStart w:id="16" w:name="_Toc484084913"/>
      <w:r w:rsidRPr="00D971C2">
        <w:t>Sprememba plačnika; naslovnik je enak plačniku</w:t>
      </w:r>
      <w:bookmarkEnd w:id="15"/>
      <w:bookmarkEnd w:id="16"/>
    </w:p>
    <w:p w:rsidR="00B55F05" w:rsidRDefault="00B55F05" w:rsidP="007820C3">
      <w:pPr>
        <w:jc w:val="both"/>
      </w:pPr>
      <w:r w:rsidRPr="00B55F05">
        <w:t>Če se na merilnem mestu spremeni plačnik</w:t>
      </w:r>
      <w:r w:rsidR="008B5D2A">
        <w:t xml:space="preserve"> in ostane </w:t>
      </w:r>
      <w:r w:rsidR="00E54A36">
        <w:t>lastnik isti</w:t>
      </w:r>
      <w:r w:rsidRPr="00B55F05">
        <w:t>, mora lastnik merilnega mesta podati soglasje za evidentiranje plačnika.</w:t>
      </w:r>
    </w:p>
    <w:p w:rsidR="00B55F05" w:rsidRPr="00B55F05" w:rsidRDefault="00B55F05" w:rsidP="007820C3">
      <w:pPr>
        <w:jc w:val="both"/>
      </w:pPr>
    </w:p>
    <w:p w:rsidR="00E8447A" w:rsidRPr="00E036A2" w:rsidRDefault="00B55F05" w:rsidP="007820C3">
      <w:pPr>
        <w:jc w:val="both"/>
        <w:rPr>
          <w:u w:val="single"/>
        </w:rPr>
      </w:pPr>
      <w:r w:rsidRPr="00E036A2">
        <w:rPr>
          <w:u w:val="single"/>
        </w:rPr>
        <w:t>Obraz</w:t>
      </w:r>
      <w:r w:rsidR="00F911B6" w:rsidRPr="00E036A2">
        <w:rPr>
          <w:u w:val="single"/>
        </w:rPr>
        <w:t>ec</w:t>
      </w:r>
      <w:r w:rsidRPr="00E036A2">
        <w:rPr>
          <w:u w:val="single"/>
        </w:rPr>
        <w:t xml:space="preserve"> </w:t>
      </w:r>
      <w:r w:rsidR="00E8447A" w:rsidRPr="00E036A2">
        <w:rPr>
          <w:u w:val="single"/>
        </w:rPr>
        <w:t>SODO:</w:t>
      </w:r>
    </w:p>
    <w:p w:rsidR="00E8447A" w:rsidRDefault="00E8447A" w:rsidP="007820C3">
      <w:pPr>
        <w:pStyle w:val="Odstavekseznama"/>
        <w:numPr>
          <w:ilvl w:val="0"/>
          <w:numId w:val="12"/>
        </w:numPr>
        <w:jc w:val="both"/>
      </w:pPr>
      <w:r>
        <w:t xml:space="preserve">Obrazec št. 2 – </w:t>
      </w:r>
      <w:r w:rsidRPr="00F630D5">
        <w:t xml:space="preserve">Soglasje </w:t>
      </w:r>
      <w:r>
        <w:t xml:space="preserve">lastnika </w:t>
      </w:r>
      <w:r w:rsidRPr="00F630D5">
        <w:t>za evidentiranje plačnika</w:t>
      </w:r>
    </w:p>
    <w:p w:rsidR="00E8447A" w:rsidRDefault="00E8447A" w:rsidP="007820C3">
      <w:pPr>
        <w:jc w:val="both"/>
      </w:pPr>
    </w:p>
    <w:p w:rsidR="00E8447A" w:rsidRPr="00566E1E" w:rsidRDefault="00E8447A" w:rsidP="003A0293">
      <w:pPr>
        <w:pStyle w:val="Naslov1"/>
      </w:pPr>
      <w:bookmarkStart w:id="17" w:name="_Toc484084497"/>
      <w:bookmarkStart w:id="18" w:name="_Toc484084914"/>
      <w:r w:rsidRPr="00566E1E">
        <w:t>Sprememba plačnika; naslovnik ni enak plačniku</w:t>
      </w:r>
      <w:bookmarkEnd w:id="17"/>
      <w:bookmarkEnd w:id="18"/>
    </w:p>
    <w:p w:rsidR="00B55F05" w:rsidRDefault="00B55F05" w:rsidP="007820C3">
      <w:pPr>
        <w:jc w:val="both"/>
      </w:pPr>
      <w:r w:rsidRPr="00B55F05">
        <w:t xml:space="preserve">Če se na merilnem mestu spremeni plačnik </w:t>
      </w:r>
      <w:r w:rsidR="00E54A36">
        <w:t>in</w:t>
      </w:r>
      <w:r w:rsidR="00E54A36" w:rsidRPr="00B55F05">
        <w:t xml:space="preserve"> </w:t>
      </w:r>
      <w:r w:rsidRPr="00B55F05">
        <w:t>naslovnik ni enak plačniku</w:t>
      </w:r>
      <w:r w:rsidR="00E54A36">
        <w:t xml:space="preserve"> (plačnik želi </w:t>
      </w:r>
      <w:r w:rsidR="008B5D2A">
        <w:t>prejemati</w:t>
      </w:r>
      <w:r w:rsidR="00E54A36">
        <w:t xml:space="preserve"> račune in ostale dokumente na naslov, ki je različen od naslova stalnega bivališča ali sedeža podjetja </w:t>
      </w:r>
      <w:r w:rsidR="008B5D2A">
        <w:t>(</w:t>
      </w:r>
      <w:r w:rsidR="00E54A36">
        <w:t>pri pravnih osebah</w:t>
      </w:r>
      <w:r w:rsidR="00541FFC">
        <w:t>)</w:t>
      </w:r>
      <w:r w:rsidR="00E54A36">
        <w:t>, ali celo želi, da je naslovnik za dostavo računov in ostalih sporočil tretja oseba</w:t>
      </w:r>
      <w:r w:rsidR="00D759FE">
        <w:t>)</w:t>
      </w:r>
      <w:r w:rsidRPr="00B55F05">
        <w:t>, mora lastnik merilnega mesta podati soglasje za evidentiranje plačnika, novi plačnik pa mora posredovati vlogo za evidentiranje naslova za pošiljanje pošte, to je naslov za dostavo računov in drugih dokumentov glede izvajanja pogodbe o uporabi sistema.</w:t>
      </w:r>
    </w:p>
    <w:p w:rsidR="00B55F05" w:rsidRDefault="00B55F05" w:rsidP="007820C3">
      <w:pPr>
        <w:jc w:val="both"/>
      </w:pPr>
    </w:p>
    <w:p w:rsidR="00E8447A" w:rsidRPr="00E036A2" w:rsidRDefault="00B55F05" w:rsidP="007820C3">
      <w:pPr>
        <w:jc w:val="both"/>
        <w:rPr>
          <w:u w:val="single"/>
        </w:rPr>
      </w:pPr>
      <w:r w:rsidRPr="00E036A2">
        <w:rPr>
          <w:u w:val="single"/>
        </w:rPr>
        <w:t>Obraz</w:t>
      </w:r>
      <w:r w:rsidR="00F911B6" w:rsidRPr="00E036A2">
        <w:rPr>
          <w:u w:val="single"/>
        </w:rPr>
        <w:t>ec</w:t>
      </w:r>
      <w:r w:rsidRPr="00E036A2">
        <w:rPr>
          <w:u w:val="single"/>
        </w:rPr>
        <w:t xml:space="preserve"> </w:t>
      </w:r>
      <w:r w:rsidR="00E8447A" w:rsidRPr="00E036A2">
        <w:rPr>
          <w:u w:val="single"/>
        </w:rPr>
        <w:t>SODO:</w:t>
      </w:r>
    </w:p>
    <w:p w:rsidR="00E8447A" w:rsidRDefault="00E8447A" w:rsidP="007820C3">
      <w:pPr>
        <w:pStyle w:val="Odstavekseznama"/>
        <w:numPr>
          <w:ilvl w:val="0"/>
          <w:numId w:val="12"/>
        </w:numPr>
        <w:jc w:val="both"/>
      </w:pPr>
      <w:r>
        <w:t xml:space="preserve">Obrazec št. 2 – </w:t>
      </w:r>
      <w:r w:rsidRPr="00F630D5">
        <w:t xml:space="preserve">Soglasje </w:t>
      </w:r>
      <w:r>
        <w:t xml:space="preserve">lastnika </w:t>
      </w:r>
      <w:r w:rsidRPr="00F630D5">
        <w:t>za evidentiranje plačnika</w:t>
      </w:r>
    </w:p>
    <w:p w:rsidR="00E8447A" w:rsidRDefault="00E8447A" w:rsidP="007820C3">
      <w:pPr>
        <w:pStyle w:val="Odstavekseznama"/>
        <w:numPr>
          <w:ilvl w:val="0"/>
          <w:numId w:val="12"/>
        </w:numPr>
        <w:jc w:val="both"/>
      </w:pPr>
      <w:r>
        <w:t>Obrazec št. 3 – Vloga za evidentiranje naslova za pošiljanje pošte</w:t>
      </w:r>
    </w:p>
    <w:p w:rsidR="00E8447A" w:rsidRDefault="00E8447A" w:rsidP="007820C3">
      <w:pPr>
        <w:jc w:val="both"/>
      </w:pPr>
    </w:p>
    <w:p w:rsidR="00613BA3" w:rsidRPr="00566E1E" w:rsidRDefault="00613BA3" w:rsidP="003A0293">
      <w:pPr>
        <w:pStyle w:val="Naslov1"/>
      </w:pPr>
      <w:bookmarkStart w:id="19" w:name="_Toc484084498"/>
      <w:bookmarkStart w:id="20" w:name="_Toc484084915"/>
      <w:r w:rsidRPr="00566E1E">
        <w:t>Sprememba naslova za pošiljanje pošte</w:t>
      </w:r>
      <w:r w:rsidR="00233B7B" w:rsidRPr="00566E1E">
        <w:t>; plačnik se ne spremeni</w:t>
      </w:r>
      <w:bookmarkEnd w:id="19"/>
      <w:bookmarkEnd w:id="20"/>
    </w:p>
    <w:p w:rsidR="00B55F05" w:rsidRDefault="00B55F05" w:rsidP="007820C3">
      <w:pPr>
        <w:jc w:val="both"/>
      </w:pPr>
      <w:r w:rsidRPr="00B55F05">
        <w:t xml:space="preserve">Če želi plačnik na merilnem mestu spremeniti naslov za pošiljanje pošte, mora posredovati </w:t>
      </w:r>
      <w:r w:rsidR="00E036A2">
        <w:t xml:space="preserve">podpisano </w:t>
      </w:r>
      <w:r w:rsidRPr="00B55F05">
        <w:t>vlogo za evidentiranje naslova za pošiljanje pošte, to je naslov za dostavo računov in drugih dokumentov glede izvajanja pogodbe o uporabi sistema.</w:t>
      </w:r>
    </w:p>
    <w:p w:rsidR="00B55F05" w:rsidRPr="00B55F05" w:rsidRDefault="00B55F05" w:rsidP="007820C3">
      <w:pPr>
        <w:jc w:val="both"/>
      </w:pPr>
    </w:p>
    <w:p w:rsidR="00233B7B" w:rsidRPr="00E036A2" w:rsidRDefault="00B55F05" w:rsidP="007820C3">
      <w:pPr>
        <w:jc w:val="both"/>
        <w:rPr>
          <w:u w:val="single"/>
        </w:rPr>
      </w:pPr>
      <w:r w:rsidRPr="00E036A2">
        <w:rPr>
          <w:u w:val="single"/>
        </w:rPr>
        <w:lastRenderedPageBreak/>
        <w:t>Obraz</w:t>
      </w:r>
      <w:r w:rsidR="00747C55" w:rsidRPr="00E036A2">
        <w:rPr>
          <w:u w:val="single"/>
        </w:rPr>
        <w:t>ec</w:t>
      </w:r>
      <w:r w:rsidRPr="00E036A2">
        <w:rPr>
          <w:u w:val="single"/>
        </w:rPr>
        <w:t xml:space="preserve"> </w:t>
      </w:r>
      <w:r w:rsidR="00233B7B" w:rsidRPr="00E036A2">
        <w:rPr>
          <w:u w:val="single"/>
        </w:rPr>
        <w:t>SODO:</w:t>
      </w:r>
    </w:p>
    <w:p w:rsidR="00233B7B" w:rsidRDefault="00233B7B" w:rsidP="007820C3">
      <w:pPr>
        <w:pStyle w:val="Odstavekseznama"/>
        <w:numPr>
          <w:ilvl w:val="0"/>
          <w:numId w:val="12"/>
        </w:numPr>
        <w:jc w:val="both"/>
      </w:pPr>
      <w:r>
        <w:t>Obrazec št. 3 – Vloga za evidentiranje naslova za pošiljanje pošte</w:t>
      </w:r>
    </w:p>
    <w:p w:rsidR="006474D7" w:rsidRDefault="006474D7" w:rsidP="007820C3">
      <w:pPr>
        <w:jc w:val="both"/>
      </w:pPr>
    </w:p>
    <w:p w:rsidR="00F911B6" w:rsidRPr="00566E1E" w:rsidRDefault="00F911B6" w:rsidP="003A0293">
      <w:pPr>
        <w:pStyle w:val="Naslov1"/>
      </w:pPr>
      <w:bookmarkStart w:id="21" w:name="_Toc484084499"/>
      <w:bookmarkStart w:id="22" w:name="_Toc484084916"/>
      <w:r w:rsidRPr="00566E1E">
        <w:t>Urejanje sprememb na merilnem mestu v primeru smrti lastnika merilnega mesta</w:t>
      </w:r>
      <w:bookmarkEnd w:id="21"/>
      <w:bookmarkEnd w:id="22"/>
    </w:p>
    <w:p w:rsidR="00541FFC" w:rsidRDefault="00541FFC" w:rsidP="00FB106D">
      <w:pPr>
        <w:jc w:val="both"/>
      </w:pPr>
      <w:r>
        <w:t xml:space="preserve">Če </w:t>
      </w:r>
      <w:r w:rsidR="00C82E4A">
        <w:t>želijo potencialni dediči urediti evidentiranje plačnika na merilnem mestu pred izdajo pravnomočnega sklepa o dedovanju, je proces naslednji:</w:t>
      </w:r>
    </w:p>
    <w:p w:rsidR="00C82E4A" w:rsidRDefault="00C82E4A" w:rsidP="00FB106D">
      <w:pPr>
        <w:jc w:val="both"/>
      </w:pPr>
    </w:p>
    <w:p w:rsidR="00C82E4A" w:rsidRDefault="00C82E4A" w:rsidP="00C82E4A">
      <w:pPr>
        <w:jc w:val="both"/>
      </w:pPr>
      <w:r w:rsidRPr="00897819">
        <w:t>Dokler ni pravnomočnega sklepa sodišča o dedovanju ali sklepa o začasnem upravitelju zapuščine ali začasne odredbe sodišča</w:t>
      </w:r>
      <w:r>
        <w:t>,</w:t>
      </w:r>
      <w:r w:rsidRPr="00897819">
        <w:t xml:space="preserve"> ostane lastnik na merilnem mestu </w:t>
      </w:r>
      <w:r>
        <w:t>nespremenjen</w:t>
      </w:r>
      <w:r w:rsidRPr="00897819">
        <w:t xml:space="preserve">, doda se samo komentar »POKOJNI«. </w:t>
      </w:r>
    </w:p>
    <w:p w:rsidR="00C82E4A" w:rsidRDefault="00C82E4A" w:rsidP="00FB106D">
      <w:pPr>
        <w:jc w:val="both"/>
      </w:pPr>
    </w:p>
    <w:p w:rsidR="00FB106D" w:rsidRDefault="00C82E4A" w:rsidP="00FB106D">
      <w:pPr>
        <w:jc w:val="both"/>
      </w:pPr>
      <w:r>
        <w:t>Če je na merilnem mestu samo eden potencialni dedič, le-ta</w:t>
      </w:r>
      <w:r w:rsidR="00FB106D">
        <w:t xml:space="preserve"> </w:t>
      </w:r>
      <w:r w:rsidR="00B71555">
        <w:t>poda zahtevo</w:t>
      </w:r>
      <w:r w:rsidR="00FB106D">
        <w:t xml:space="preserve"> za evidentiranje</w:t>
      </w:r>
      <w:r>
        <w:t xml:space="preserve"> potencialnega </w:t>
      </w:r>
      <w:r w:rsidR="00E340FC">
        <w:t>dediča</w:t>
      </w:r>
      <w:r w:rsidR="00121462">
        <w:t xml:space="preserve"> kot</w:t>
      </w:r>
      <w:r w:rsidR="00FB106D">
        <w:t xml:space="preserve"> plačnika na merilnem mestu, vse do izdaje pravnomočnega sklepa o dedovanju ali do preklica</w:t>
      </w:r>
      <w:r w:rsidR="00121462">
        <w:t>.</w:t>
      </w:r>
      <w:r w:rsidR="00FB106D">
        <w:t xml:space="preserve"> </w:t>
      </w:r>
    </w:p>
    <w:p w:rsidR="00FB106D" w:rsidRDefault="00FB106D" w:rsidP="00FB106D">
      <w:pPr>
        <w:jc w:val="both"/>
      </w:pPr>
    </w:p>
    <w:p w:rsidR="00AD34E7" w:rsidRDefault="00C82E4A" w:rsidP="00FB106D">
      <w:pPr>
        <w:jc w:val="both"/>
      </w:pPr>
      <w:r>
        <w:t xml:space="preserve">Če je na merilnem mestu več potencialnih sodedičev in če </w:t>
      </w:r>
      <w:r w:rsidR="00121462">
        <w:t>želi</w:t>
      </w:r>
      <w:r w:rsidR="00FB106D">
        <w:t xml:space="preserve"> </w:t>
      </w:r>
      <w:r w:rsidR="00266591">
        <w:t xml:space="preserve">eden izmed </w:t>
      </w:r>
      <w:r w:rsidR="00897819">
        <w:t>sodedič</w:t>
      </w:r>
      <w:r w:rsidR="00266591">
        <w:t>ev</w:t>
      </w:r>
      <w:r w:rsidR="00897819">
        <w:t xml:space="preserve"> </w:t>
      </w:r>
      <w:r w:rsidR="00266591">
        <w:t xml:space="preserve">urediti </w:t>
      </w:r>
      <w:r w:rsidR="00897819">
        <w:t>spreme</w:t>
      </w:r>
      <w:r w:rsidR="00266591">
        <w:t>mbo</w:t>
      </w:r>
      <w:r w:rsidR="00897819">
        <w:t xml:space="preserve"> plačnika na merilnem mestu</w:t>
      </w:r>
      <w:r w:rsidR="00266591">
        <w:t xml:space="preserve"> </w:t>
      </w:r>
      <w:r w:rsidR="00266591" w:rsidRPr="00266591">
        <w:t>do izdaje enega izmed zgoraj naštetih dokumentov sodišča</w:t>
      </w:r>
      <w:r w:rsidR="00897819">
        <w:t xml:space="preserve">, se </w:t>
      </w:r>
      <w:r w:rsidR="00266591">
        <w:t xml:space="preserve">sodediči </w:t>
      </w:r>
      <w:r w:rsidR="00897819">
        <w:t xml:space="preserve">med seboj sporazumejo in določijo potencialnega sodediča, ki bo evidentiran kot novi </w:t>
      </w:r>
      <w:r w:rsidR="00897819" w:rsidRPr="00897819">
        <w:t>plačnik na merilnem mestu vse do izdaje pravnomočnega sklepa o dedovanju ali do preklica</w:t>
      </w:r>
      <w:r w:rsidR="00A36477">
        <w:t xml:space="preserve">. </w:t>
      </w:r>
      <w:r w:rsidR="00897819">
        <w:t xml:space="preserve">Potencialni sodedič poda izjavo, </w:t>
      </w:r>
      <w:r w:rsidR="00266591">
        <w:t xml:space="preserve">iz katere je razvidno, </w:t>
      </w:r>
      <w:r w:rsidR="00897819">
        <w:t>da ostali sodediči na merilnem mestu soglašajo z evidentiranjem novega plačnika na merilnem mestu</w:t>
      </w:r>
      <w:r w:rsidR="00A36477">
        <w:t>.</w:t>
      </w:r>
    </w:p>
    <w:p w:rsidR="00C82E4A" w:rsidRDefault="00C82E4A" w:rsidP="00FB106D">
      <w:pPr>
        <w:jc w:val="both"/>
      </w:pPr>
    </w:p>
    <w:p w:rsidR="00266591" w:rsidRDefault="00AD34E7" w:rsidP="00FB106D">
      <w:pPr>
        <w:jc w:val="both"/>
      </w:pPr>
      <w:r>
        <w:t>Potencialni dedič/sodedič</w:t>
      </w:r>
      <w:r w:rsidR="00A36477">
        <w:t xml:space="preserve"> poda izjavo</w:t>
      </w:r>
      <w:r>
        <w:t>,</w:t>
      </w:r>
      <w:r w:rsidR="00897819">
        <w:t xml:space="preserve"> da bo v primeru morebitnega spora na sodišču sprožil postopek na krajevno pristojnem sodišču za določitev začasnega skrbnika zapuščine in o </w:t>
      </w:r>
      <w:r w:rsidR="00E54A36">
        <w:t xml:space="preserve">določitvi začasnega skrbnika zapuščine </w:t>
      </w:r>
      <w:r w:rsidR="00897819">
        <w:t xml:space="preserve">obvestil distribucijskega operaterja. </w:t>
      </w:r>
    </w:p>
    <w:p w:rsidR="00A452E9" w:rsidRDefault="00A452E9" w:rsidP="007820C3">
      <w:pPr>
        <w:jc w:val="both"/>
      </w:pPr>
    </w:p>
    <w:p w:rsidR="00F911B6" w:rsidRPr="00E036A2" w:rsidRDefault="00944B9B" w:rsidP="007820C3">
      <w:pPr>
        <w:jc w:val="both"/>
        <w:rPr>
          <w:u w:val="single"/>
        </w:rPr>
      </w:pPr>
      <w:r>
        <w:t xml:space="preserve"> </w:t>
      </w:r>
      <w:r w:rsidR="00F911B6" w:rsidRPr="00E036A2">
        <w:rPr>
          <w:u w:val="single"/>
        </w:rPr>
        <w:t>Obrazec SODO:</w:t>
      </w:r>
    </w:p>
    <w:p w:rsidR="00F911B6" w:rsidRDefault="00F911B6" w:rsidP="007820C3">
      <w:pPr>
        <w:pStyle w:val="Odstavekseznama"/>
        <w:numPr>
          <w:ilvl w:val="0"/>
          <w:numId w:val="12"/>
        </w:numPr>
        <w:jc w:val="both"/>
      </w:pPr>
      <w:r>
        <w:t xml:space="preserve">Obrazec št. 12 – Izjava </w:t>
      </w:r>
      <w:r w:rsidR="00121462">
        <w:t xml:space="preserve">dediča oz. </w:t>
      </w:r>
      <w:r>
        <w:t>potencialnega sodediča</w:t>
      </w:r>
    </w:p>
    <w:sectPr w:rsidR="00F91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3ED"/>
    <w:multiLevelType w:val="hybridMultilevel"/>
    <w:tmpl w:val="B188544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746013"/>
    <w:multiLevelType w:val="hybridMultilevel"/>
    <w:tmpl w:val="B6242D8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EA44E3C"/>
    <w:multiLevelType w:val="hybridMultilevel"/>
    <w:tmpl w:val="4C8CFE9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FC94D63"/>
    <w:multiLevelType w:val="hybridMultilevel"/>
    <w:tmpl w:val="17A09944"/>
    <w:lvl w:ilvl="0" w:tplc="36AEFA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ED0C45"/>
    <w:multiLevelType w:val="hybridMultilevel"/>
    <w:tmpl w:val="3B3257C8"/>
    <w:lvl w:ilvl="0" w:tplc="0424000F">
      <w:start w:val="1"/>
      <w:numFmt w:val="decimal"/>
      <w:lvlText w:val="%1."/>
      <w:lvlJc w:val="left"/>
      <w:pPr>
        <w:ind w:left="720" w:hanging="360"/>
      </w:pPr>
      <w:rPr>
        <w:rFonts w:hint="default"/>
      </w:rPr>
    </w:lvl>
    <w:lvl w:ilvl="1" w:tplc="20827948">
      <w:numFmt w:val="bullet"/>
      <w:lvlText w:val="•"/>
      <w:lvlJc w:val="left"/>
      <w:pPr>
        <w:ind w:left="1785" w:hanging="705"/>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216591"/>
    <w:multiLevelType w:val="hybridMultilevel"/>
    <w:tmpl w:val="61B49B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5940E8"/>
    <w:multiLevelType w:val="hybridMultilevel"/>
    <w:tmpl w:val="DAF213E4"/>
    <w:lvl w:ilvl="0" w:tplc="36AEFA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1E3558"/>
    <w:multiLevelType w:val="hybridMultilevel"/>
    <w:tmpl w:val="86B07C46"/>
    <w:lvl w:ilvl="0" w:tplc="E326D374">
      <w:start w:val="1"/>
      <w:numFmt w:val="decimal"/>
      <w:pStyle w:val="Naslov1"/>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4433C8"/>
    <w:multiLevelType w:val="hybridMultilevel"/>
    <w:tmpl w:val="98A67EEC"/>
    <w:lvl w:ilvl="0" w:tplc="36AEFA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C982C14"/>
    <w:multiLevelType w:val="hybridMultilevel"/>
    <w:tmpl w:val="DEFC1D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EC11A23"/>
    <w:multiLevelType w:val="hybridMultilevel"/>
    <w:tmpl w:val="9D50A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F15712"/>
    <w:multiLevelType w:val="hybridMultilevel"/>
    <w:tmpl w:val="DC0677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4F2154C"/>
    <w:multiLevelType w:val="hybridMultilevel"/>
    <w:tmpl w:val="A12486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BA638B5"/>
    <w:multiLevelType w:val="hybridMultilevel"/>
    <w:tmpl w:val="B030CC46"/>
    <w:lvl w:ilvl="0" w:tplc="F2DC7FEE">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BD7027D"/>
    <w:multiLevelType w:val="hybridMultilevel"/>
    <w:tmpl w:val="5210B7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BEC2DE8"/>
    <w:multiLevelType w:val="hybridMultilevel"/>
    <w:tmpl w:val="BED239FA"/>
    <w:lvl w:ilvl="0" w:tplc="36AEFA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E4F52D2"/>
    <w:multiLevelType w:val="hybridMultilevel"/>
    <w:tmpl w:val="23D88E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312263"/>
    <w:multiLevelType w:val="hybridMultilevel"/>
    <w:tmpl w:val="EC2C1028"/>
    <w:lvl w:ilvl="0" w:tplc="36AEFA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C321900"/>
    <w:multiLevelType w:val="hybridMultilevel"/>
    <w:tmpl w:val="B7FA6F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70496504"/>
    <w:multiLevelType w:val="hybridMultilevel"/>
    <w:tmpl w:val="28B85FE2"/>
    <w:lvl w:ilvl="0" w:tplc="36AEFA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763500A"/>
    <w:multiLevelType w:val="hybridMultilevel"/>
    <w:tmpl w:val="A16E60C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5"/>
  </w:num>
  <w:num w:numId="9">
    <w:abstractNumId w:val="0"/>
  </w:num>
  <w:num w:numId="10">
    <w:abstractNumId w:val="20"/>
  </w:num>
  <w:num w:numId="11">
    <w:abstractNumId w:val="12"/>
  </w:num>
  <w:num w:numId="12">
    <w:abstractNumId w:val="8"/>
  </w:num>
  <w:num w:numId="13">
    <w:abstractNumId w:val="6"/>
  </w:num>
  <w:num w:numId="14">
    <w:abstractNumId w:val="13"/>
  </w:num>
  <w:num w:numId="15">
    <w:abstractNumId w:val="2"/>
  </w:num>
  <w:num w:numId="16">
    <w:abstractNumId w:val="14"/>
  </w:num>
  <w:num w:numId="17">
    <w:abstractNumId w:val="17"/>
  </w:num>
  <w:num w:numId="18">
    <w:abstractNumId w:val="3"/>
  </w:num>
  <w:num w:numId="19">
    <w:abstractNumId w:val="19"/>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CD"/>
    <w:rsid w:val="000007E1"/>
    <w:rsid w:val="00027665"/>
    <w:rsid w:val="000A12FE"/>
    <w:rsid w:val="000F5A79"/>
    <w:rsid w:val="00121462"/>
    <w:rsid w:val="001228DE"/>
    <w:rsid w:val="00142AC8"/>
    <w:rsid w:val="00143AB8"/>
    <w:rsid w:val="0015204F"/>
    <w:rsid w:val="001610D8"/>
    <w:rsid w:val="00176E95"/>
    <w:rsid w:val="001939E8"/>
    <w:rsid w:val="001A6BAC"/>
    <w:rsid w:val="001B1209"/>
    <w:rsid w:val="001B36F7"/>
    <w:rsid w:val="001C2CDB"/>
    <w:rsid w:val="001F35F7"/>
    <w:rsid w:val="001F4673"/>
    <w:rsid w:val="00214E50"/>
    <w:rsid w:val="00233B7B"/>
    <w:rsid w:val="00240119"/>
    <w:rsid w:val="00251E30"/>
    <w:rsid w:val="002537AC"/>
    <w:rsid w:val="00266591"/>
    <w:rsid w:val="002A2857"/>
    <w:rsid w:val="002B3769"/>
    <w:rsid w:val="002E1E7F"/>
    <w:rsid w:val="002E2C40"/>
    <w:rsid w:val="002E4943"/>
    <w:rsid w:val="002F085E"/>
    <w:rsid w:val="003A0293"/>
    <w:rsid w:val="003C3FCD"/>
    <w:rsid w:val="003D6D99"/>
    <w:rsid w:val="003F27AB"/>
    <w:rsid w:val="004049EE"/>
    <w:rsid w:val="00404C32"/>
    <w:rsid w:val="0040523C"/>
    <w:rsid w:val="00405868"/>
    <w:rsid w:val="00455D71"/>
    <w:rsid w:val="0047090A"/>
    <w:rsid w:val="0047260C"/>
    <w:rsid w:val="0049637C"/>
    <w:rsid w:val="004A4AD1"/>
    <w:rsid w:val="004C182B"/>
    <w:rsid w:val="004E51B4"/>
    <w:rsid w:val="005000D3"/>
    <w:rsid w:val="00541FFC"/>
    <w:rsid w:val="00564836"/>
    <w:rsid w:val="00566E1E"/>
    <w:rsid w:val="00597899"/>
    <w:rsid w:val="005A124A"/>
    <w:rsid w:val="005C7D36"/>
    <w:rsid w:val="00613BA3"/>
    <w:rsid w:val="00613FED"/>
    <w:rsid w:val="00634A3D"/>
    <w:rsid w:val="006474D7"/>
    <w:rsid w:val="006548E0"/>
    <w:rsid w:val="00684DC3"/>
    <w:rsid w:val="006A0304"/>
    <w:rsid w:val="006C3FA3"/>
    <w:rsid w:val="00711024"/>
    <w:rsid w:val="00747C55"/>
    <w:rsid w:val="007820C3"/>
    <w:rsid w:val="008023E2"/>
    <w:rsid w:val="00831512"/>
    <w:rsid w:val="008509BA"/>
    <w:rsid w:val="00897819"/>
    <w:rsid w:val="008B5D2A"/>
    <w:rsid w:val="008C2EB2"/>
    <w:rsid w:val="008C3EAC"/>
    <w:rsid w:val="008E7AF9"/>
    <w:rsid w:val="00944B9B"/>
    <w:rsid w:val="009B278D"/>
    <w:rsid w:val="00A15AFB"/>
    <w:rsid w:val="00A24E50"/>
    <w:rsid w:val="00A305F1"/>
    <w:rsid w:val="00A36477"/>
    <w:rsid w:val="00A40061"/>
    <w:rsid w:val="00A452E9"/>
    <w:rsid w:val="00A95A1E"/>
    <w:rsid w:val="00AB455F"/>
    <w:rsid w:val="00AD34E7"/>
    <w:rsid w:val="00AF573E"/>
    <w:rsid w:val="00B55F05"/>
    <w:rsid w:val="00B71555"/>
    <w:rsid w:val="00C108C9"/>
    <w:rsid w:val="00C16421"/>
    <w:rsid w:val="00C43934"/>
    <w:rsid w:val="00C82E4A"/>
    <w:rsid w:val="00C83570"/>
    <w:rsid w:val="00CD3E5F"/>
    <w:rsid w:val="00CF7053"/>
    <w:rsid w:val="00D248E3"/>
    <w:rsid w:val="00D24B67"/>
    <w:rsid w:val="00D63A18"/>
    <w:rsid w:val="00D759FE"/>
    <w:rsid w:val="00D81447"/>
    <w:rsid w:val="00D8765A"/>
    <w:rsid w:val="00D971C2"/>
    <w:rsid w:val="00DA01D8"/>
    <w:rsid w:val="00DF553E"/>
    <w:rsid w:val="00E036A2"/>
    <w:rsid w:val="00E1551D"/>
    <w:rsid w:val="00E340FC"/>
    <w:rsid w:val="00E519FC"/>
    <w:rsid w:val="00E54A36"/>
    <w:rsid w:val="00E8447A"/>
    <w:rsid w:val="00EC1017"/>
    <w:rsid w:val="00ED2208"/>
    <w:rsid w:val="00F052D7"/>
    <w:rsid w:val="00F05CD7"/>
    <w:rsid w:val="00F51A97"/>
    <w:rsid w:val="00F71497"/>
    <w:rsid w:val="00F85EA7"/>
    <w:rsid w:val="00F86361"/>
    <w:rsid w:val="00F911B6"/>
    <w:rsid w:val="00F95FD4"/>
    <w:rsid w:val="00FB106D"/>
    <w:rsid w:val="00FC0248"/>
    <w:rsid w:val="00FC6C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6415E-C250-4183-B2E1-7A9A2208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455F"/>
    <w:pPr>
      <w:spacing w:after="0" w:line="240" w:lineRule="auto"/>
    </w:pPr>
  </w:style>
  <w:style w:type="paragraph" w:styleId="Naslov1">
    <w:name w:val="heading 1"/>
    <w:basedOn w:val="Navaden"/>
    <w:next w:val="Navaden"/>
    <w:link w:val="Naslov1Znak"/>
    <w:uiPriority w:val="9"/>
    <w:qFormat/>
    <w:rsid w:val="002E1E7F"/>
    <w:pPr>
      <w:keepNext/>
      <w:keepLines/>
      <w:numPr>
        <w:numId w:val="21"/>
      </w:numPr>
      <w:outlineLvl w:val="0"/>
    </w:pPr>
    <w:rPr>
      <w:rFonts w:ascii="Calibri" w:eastAsiaTheme="majorEastAsia" w:hAnsi="Calibri"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C3FCD"/>
    <w:pPr>
      <w:ind w:left="720"/>
      <w:contextualSpacing/>
    </w:pPr>
  </w:style>
  <w:style w:type="paragraph" w:styleId="Besedilooblaka">
    <w:name w:val="Balloon Text"/>
    <w:basedOn w:val="Navaden"/>
    <w:link w:val="BesedilooblakaZnak"/>
    <w:uiPriority w:val="99"/>
    <w:semiHidden/>
    <w:unhideWhenUsed/>
    <w:rsid w:val="002E2C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2C40"/>
    <w:rPr>
      <w:rFonts w:ascii="Segoe UI" w:hAnsi="Segoe UI" w:cs="Segoe UI"/>
      <w:sz w:val="18"/>
      <w:szCs w:val="18"/>
    </w:rPr>
  </w:style>
  <w:style w:type="character" w:customStyle="1" w:styleId="Naslov1Znak">
    <w:name w:val="Naslov 1 Znak"/>
    <w:basedOn w:val="Privzetapisavaodstavka"/>
    <w:link w:val="Naslov1"/>
    <w:uiPriority w:val="9"/>
    <w:rsid w:val="002E1E7F"/>
    <w:rPr>
      <w:rFonts w:ascii="Calibri" w:eastAsiaTheme="majorEastAsia" w:hAnsi="Calibri" w:cstheme="majorBidi"/>
      <w:b/>
      <w:szCs w:val="32"/>
    </w:rPr>
  </w:style>
  <w:style w:type="paragraph" w:styleId="Kazalovsebine1">
    <w:name w:val="toc 1"/>
    <w:basedOn w:val="Navaden"/>
    <w:next w:val="Navaden"/>
    <w:autoRedefine/>
    <w:uiPriority w:val="39"/>
    <w:unhideWhenUsed/>
    <w:rsid w:val="001939E8"/>
    <w:pPr>
      <w:spacing w:before="240" w:after="120"/>
    </w:pPr>
    <w:rPr>
      <w:b/>
      <w:bCs/>
      <w:sz w:val="20"/>
      <w:szCs w:val="20"/>
    </w:rPr>
  </w:style>
  <w:style w:type="character" w:styleId="Hiperpovezava">
    <w:name w:val="Hyperlink"/>
    <w:basedOn w:val="Privzetapisavaodstavka"/>
    <w:uiPriority w:val="99"/>
    <w:unhideWhenUsed/>
    <w:rsid w:val="001939E8"/>
    <w:rPr>
      <w:color w:val="0563C1" w:themeColor="hyperlink"/>
      <w:u w:val="single"/>
    </w:rPr>
  </w:style>
  <w:style w:type="paragraph" w:styleId="Kazalovsebine2">
    <w:name w:val="toc 2"/>
    <w:basedOn w:val="Navaden"/>
    <w:next w:val="Navaden"/>
    <w:autoRedefine/>
    <w:uiPriority w:val="39"/>
    <w:unhideWhenUsed/>
    <w:rsid w:val="001939E8"/>
    <w:pPr>
      <w:spacing w:before="120"/>
      <w:ind w:left="220"/>
    </w:pPr>
    <w:rPr>
      <w:i/>
      <w:iCs/>
      <w:sz w:val="20"/>
      <w:szCs w:val="20"/>
    </w:rPr>
  </w:style>
  <w:style w:type="paragraph" w:styleId="Kazalovsebine3">
    <w:name w:val="toc 3"/>
    <w:basedOn w:val="Navaden"/>
    <w:next w:val="Navaden"/>
    <w:autoRedefine/>
    <w:uiPriority w:val="39"/>
    <w:unhideWhenUsed/>
    <w:rsid w:val="001939E8"/>
    <w:pPr>
      <w:ind w:left="440"/>
    </w:pPr>
    <w:rPr>
      <w:sz w:val="20"/>
      <w:szCs w:val="20"/>
    </w:rPr>
  </w:style>
  <w:style w:type="paragraph" w:styleId="Kazalovsebine4">
    <w:name w:val="toc 4"/>
    <w:basedOn w:val="Navaden"/>
    <w:next w:val="Navaden"/>
    <w:autoRedefine/>
    <w:uiPriority w:val="39"/>
    <w:unhideWhenUsed/>
    <w:rsid w:val="001939E8"/>
    <w:pPr>
      <w:ind w:left="660"/>
    </w:pPr>
    <w:rPr>
      <w:sz w:val="20"/>
      <w:szCs w:val="20"/>
    </w:rPr>
  </w:style>
  <w:style w:type="paragraph" w:styleId="Kazalovsebine5">
    <w:name w:val="toc 5"/>
    <w:basedOn w:val="Navaden"/>
    <w:next w:val="Navaden"/>
    <w:autoRedefine/>
    <w:uiPriority w:val="39"/>
    <w:unhideWhenUsed/>
    <w:rsid w:val="001939E8"/>
    <w:pPr>
      <w:ind w:left="880"/>
    </w:pPr>
    <w:rPr>
      <w:sz w:val="20"/>
      <w:szCs w:val="20"/>
    </w:rPr>
  </w:style>
  <w:style w:type="paragraph" w:styleId="Kazalovsebine6">
    <w:name w:val="toc 6"/>
    <w:basedOn w:val="Navaden"/>
    <w:next w:val="Navaden"/>
    <w:autoRedefine/>
    <w:uiPriority w:val="39"/>
    <w:unhideWhenUsed/>
    <w:rsid w:val="001939E8"/>
    <w:pPr>
      <w:ind w:left="1100"/>
    </w:pPr>
    <w:rPr>
      <w:sz w:val="20"/>
      <w:szCs w:val="20"/>
    </w:rPr>
  </w:style>
  <w:style w:type="paragraph" w:styleId="Kazalovsebine7">
    <w:name w:val="toc 7"/>
    <w:basedOn w:val="Navaden"/>
    <w:next w:val="Navaden"/>
    <w:autoRedefine/>
    <w:uiPriority w:val="39"/>
    <w:unhideWhenUsed/>
    <w:rsid w:val="001939E8"/>
    <w:pPr>
      <w:ind w:left="1320"/>
    </w:pPr>
    <w:rPr>
      <w:sz w:val="20"/>
      <w:szCs w:val="20"/>
    </w:rPr>
  </w:style>
  <w:style w:type="paragraph" w:styleId="Kazalovsebine8">
    <w:name w:val="toc 8"/>
    <w:basedOn w:val="Navaden"/>
    <w:next w:val="Navaden"/>
    <w:autoRedefine/>
    <w:uiPriority w:val="39"/>
    <w:unhideWhenUsed/>
    <w:rsid w:val="001939E8"/>
    <w:pPr>
      <w:ind w:left="1540"/>
    </w:pPr>
    <w:rPr>
      <w:sz w:val="20"/>
      <w:szCs w:val="20"/>
    </w:rPr>
  </w:style>
  <w:style w:type="paragraph" w:styleId="Kazalovsebine9">
    <w:name w:val="toc 9"/>
    <w:basedOn w:val="Navaden"/>
    <w:next w:val="Navaden"/>
    <w:autoRedefine/>
    <w:uiPriority w:val="39"/>
    <w:unhideWhenUsed/>
    <w:rsid w:val="001939E8"/>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36029B-42C6-4AC8-B339-11893A75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1628</Words>
  <Characters>9280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Terpin</dc:creator>
  <cp:keywords/>
  <dc:description/>
  <cp:lastModifiedBy>Jožica Terpin</cp:lastModifiedBy>
  <cp:revision>14</cp:revision>
  <cp:lastPrinted>2017-03-29T13:00:00Z</cp:lastPrinted>
  <dcterms:created xsi:type="dcterms:W3CDTF">2017-05-12T11:59:00Z</dcterms:created>
  <dcterms:modified xsi:type="dcterms:W3CDTF">2017-06-01T11:05:00Z</dcterms:modified>
</cp:coreProperties>
</file>